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lang w:eastAsia="zh-CN"/>
        </w:rPr>
      </w:pPr>
      <w:r>
        <w:rPr>
          <w:rFonts w:hint="eastAsia"/>
          <w:b/>
          <w:bCs/>
        </w:rPr>
        <w:t>附件</w:t>
      </w:r>
      <w:r>
        <w:rPr>
          <w:rFonts w:hint="eastAsia"/>
          <w:b/>
          <w:bCs/>
          <w:lang w:val="en-US" w:eastAsia="zh-CN"/>
        </w:rPr>
        <w:t>2</w:t>
      </w:r>
      <w:r>
        <w:rPr>
          <w:rFonts w:hint="eastAsia"/>
          <w:b/>
          <w:bCs/>
        </w:rPr>
        <w:t>：</w:t>
      </w:r>
      <w:r>
        <w:rPr>
          <w:rFonts w:hint="eastAsia"/>
          <w:b/>
          <w:bCs/>
          <w:lang w:eastAsia="zh-CN"/>
        </w:rPr>
        <w:t>数学与计算机学院购置ARCGIS软件</w:t>
      </w:r>
      <w:r>
        <w:rPr>
          <w:rFonts w:hint="eastAsia"/>
          <w:b/>
          <w:bCs/>
          <w:lang w:val="en-US" w:eastAsia="zh-CN"/>
        </w:rPr>
        <w:t>(</w:t>
      </w:r>
      <w:r>
        <w:rPr>
          <w:rFonts w:hint="eastAsia" w:ascii="宋体" w:hAnsi="宋体" w:cs="宋体"/>
          <w:i w:val="0"/>
          <w:color w:val="000000"/>
          <w:kern w:val="0"/>
          <w:sz w:val="20"/>
          <w:szCs w:val="20"/>
          <w:u w:val="none"/>
          <w:lang w:val="en-US" w:eastAsia="zh-CN" w:bidi="ar"/>
        </w:rPr>
        <w:t>黄老师15767081290</w:t>
      </w:r>
      <w:r>
        <w:rPr>
          <w:rFonts w:hint="eastAsia"/>
          <w:b/>
          <w:bCs/>
          <w:lang w:val="en-US" w:eastAsia="zh-CN"/>
        </w:rPr>
        <w:t>)</w:t>
      </w:r>
    </w:p>
    <w:tbl>
      <w:tblPr>
        <w:tblStyle w:val="6"/>
        <w:tblW w:w="1389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200"/>
        <w:gridCol w:w="5184"/>
        <w:gridCol w:w="2071"/>
        <w:gridCol w:w="44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13899" w:type="dxa"/>
            <w:gridSpan w:val="4"/>
            <w:noWrap w:val="0"/>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广东海洋大学申购货物清单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200" w:type="dxa"/>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申购单位：</w:t>
            </w:r>
          </w:p>
        </w:tc>
        <w:tc>
          <w:tcPr>
            <w:tcW w:w="5184" w:type="dxa"/>
            <w:noWrap w:val="0"/>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数学与计算机</w:t>
            </w:r>
            <w:r>
              <w:rPr>
                <w:rFonts w:hint="eastAsia" w:ascii="宋体" w:hAnsi="宋体" w:eastAsia="宋体" w:cs="宋体"/>
                <w:i w:val="0"/>
                <w:color w:val="000000"/>
                <w:kern w:val="0"/>
                <w:sz w:val="20"/>
                <w:szCs w:val="20"/>
                <w:u w:val="none"/>
                <w:lang w:val="en-US" w:eastAsia="zh-CN" w:bidi="ar"/>
              </w:rPr>
              <w:t>学院</w:t>
            </w:r>
          </w:p>
        </w:tc>
        <w:tc>
          <w:tcPr>
            <w:tcW w:w="2071" w:type="dxa"/>
            <w:noWrap w:val="0"/>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填表日期：</w:t>
            </w:r>
          </w:p>
        </w:tc>
        <w:tc>
          <w:tcPr>
            <w:tcW w:w="4444" w:type="dxa"/>
            <w:noWrap w:val="0"/>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w:t>
            </w:r>
            <w:r>
              <w:rPr>
                <w:rFonts w:hint="eastAsia" w:ascii="宋体" w:hAnsi="宋体" w:cs="宋体"/>
                <w:i w:val="0"/>
                <w:color w:val="000000"/>
                <w:kern w:val="0"/>
                <w:sz w:val="20"/>
                <w:szCs w:val="20"/>
                <w:u w:val="none"/>
                <w:lang w:val="en-US" w:eastAsia="zh-CN" w:bidi="ar"/>
              </w:rPr>
              <w:t>9</w:t>
            </w:r>
            <w:r>
              <w:rPr>
                <w:rFonts w:hint="eastAsia" w:ascii="宋体" w:hAnsi="宋体" w:eastAsia="宋体" w:cs="宋体"/>
                <w:i w:val="0"/>
                <w:color w:val="000000"/>
                <w:kern w:val="0"/>
                <w:sz w:val="20"/>
                <w:szCs w:val="20"/>
                <w:u w:val="none"/>
                <w:lang w:val="en-US" w:eastAsia="zh-CN" w:bidi="ar"/>
              </w:rPr>
              <w:t>年10月</w:t>
            </w:r>
            <w:r>
              <w:rPr>
                <w:rFonts w:hint="eastAsia" w:ascii="宋体" w:hAnsi="宋体" w:cs="宋体"/>
                <w:i w:val="0"/>
                <w:color w:val="000000"/>
                <w:kern w:val="0"/>
                <w:sz w:val="20"/>
                <w:szCs w:val="20"/>
                <w:u w:val="none"/>
                <w:lang w:val="en-US" w:eastAsia="zh-CN" w:bidi="ar"/>
              </w:rPr>
              <w:t>30</w:t>
            </w:r>
            <w:r>
              <w:rPr>
                <w:rFonts w:hint="eastAsia" w:ascii="宋体" w:hAnsi="宋体" w:eastAsia="宋体" w:cs="宋体"/>
                <w:i w:val="0"/>
                <w:color w:val="000000"/>
                <w:kern w:val="0"/>
                <w:sz w:val="20"/>
                <w:szCs w:val="20"/>
                <w:u w:val="none"/>
                <w:lang w:val="en-US" w:eastAsia="zh-CN" w:bidi="ar"/>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2200" w:type="dxa"/>
            <w:tcBorders>
              <w:bottom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5184" w:type="dxa"/>
            <w:tcBorders>
              <w:bottom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数学与计算机学院关于购置ARCGIS软件申请</w:t>
            </w:r>
          </w:p>
        </w:tc>
        <w:tc>
          <w:tcPr>
            <w:tcW w:w="2071" w:type="dxa"/>
            <w:tcBorders>
              <w:bottom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经办人及联系电话：</w:t>
            </w:r>
          </w:p>
        </w:tc>
        <w:tc>
          <w:tcPr>
            <w:tcW w:w="4444" w:type="dxa"/>
            <w:tcBorders>
              <w:bottom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cs="宋体"/>
                <w:i w:val="0"/>
                <w:color w:val="000000"/>
                <w:kern w:val="0"/>
                <w:sz w:val="20"/>
                <w:szCs w:val="20"/>
                <w:u w:val="none"/>
                <w:lang w:val="en-US" w:eastAsia="zh-CN" w:bidi="ar"/>
              </w:rPr>
              <w:t>黄老师15767081290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3899" w:type="dxa"/>
            <w:gridSpan w:val="4"/>
            <w:tcBorders>
              <w:top w:val="single" w:color="000000" w:sz="4" w:space="0"/>
            </w:tcBorders>
            <w:noWrap w:val="0"/>
            <w:vAlign w:val="center"/>
          </w:tcPr>
          <w:tbl>
            <w:tblPr>
              <w:tblW w:w="13897" w:type="dxa"/>
              <w:tblInd w:w="-15" w:type="dxa"/>
              <w:shd w:val="clear"/>
              <w:tblLayout w:type="fixed"/>
              <w:tblCellMar>
                <w:top w:w="0" w:type="dxa"/>
                <w:left w:w="0" w:type="dxa"/>
                <w:bottom w:w="0" w:type="dxa"/>
                <w:right w:w="0" w:type="dxa"/>
              </w:tblCellMar>
            </w:tblPr>
            <w:tblGrid>
              <w:gridCol w:w="2842"/>
              <w:gridCol w:w="7170"/>
              <w:gridCol w:w="1470"/>
              <w:gridCol w:w="975"/>
              <w:gridCol w:w="1440"/>
            </w:tblGrid>
            <w:tr>
              <w:tblPrEx>
                <w:shd w:val="clear"/>
                <w:tblLayout w:type="fixed"/>
                <w:tblCellMar>
                  <w:top w:w="0" w:type="dxa"/>
                  <w:left w:w="0" w:type="dxa"/>
                  <w:bottom w:w="0" w:type="dxa"/>
                  <w:right w:w="0" w:type="dxa"/>
                </w:tblCellMar>
              </w:tblPrEx>
              <w:trPr>
                <w:trHeight w:val="225" w:hRule="atLeast"/>
              </w:trPr>
              <w:tc>
                <w:tcPr>
                  <w:tcW w:w="2842"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18"/>
                      <w:szCs w:val="18"/>
                      <w:u w:val="none"/>
                    </w:rPr>
                  </w:pPr>
                  <w:r>
                    <w:rPr>
                      <w:rFonts w:hint="default" w:ascii="等线" w:hAnsi="等线" w:eastAsia="等线" w:cs="等线"/>
                      <w:b/>
                      <w:i w:val="0"/>
                      <w:color w:val="000000"/>
                      <w:kern w:val="0"/>
                      <w:sz w:val="18"/>
                      <w:szCs w:val="18"/>
                      <w:u w:val="none"/>
                      <w:bdr w:val="none" w:color="auto" w:sz="0" w:space="0"/>
                      <w:lang w:val="en-US" w:eastAsia="zh-CN" w:bidi="ar"/>
                    </w:rPr>
                    <w:t>产品名称</w:t>
                  </w:r>
                </w:p>
              </w:tc>
              <w:tc>
                <w:tcPr>
                  <w:tcW w:w="71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等线" w:hAnsi="等线" w:eastAsia="等线" w:cs="等线"/>
                      <w:b/>
                      <w:i w:val="0"/>
                      <w:color w:val="000000"/>
                      <w:kern w:val="0"/>
                      <w:sz w:val="18"/>
                      <w:szCs w:val="18"/>
                      <w:u w:val="none"/>
                      <w:bdr w:val="none" w:color="auto" w:sz="0" w:space="0"/>
                      <w:lang w:val="en-US" w:eastAsia="zh-CN" w:bidi="ar"/>
                    </w:rPr>
                  </w:pPr>
                  <w:r>
                    <w:rPr>
                      <w:rFonts w:hint="default" w:ascii="等线" w:hAnsi="等线" w:eastAsia="等线" w:cs="等线"/>
                      <w:b/>
                      <w:i w:val="0"/>
                      <w:color w:val="000000"/>
                      <w:kern w:val="0"/>
                      <w:sz w:val="18"/>
                      <w:szCs w:val="18"/>
                      <w:u w:val="none"/>
                      <w:lang w:val="en-US" w:eastAsia="zh-CN" w:bidi="ar"/>
                    </w:rPr>
                    <w:t>产品描述</w:t>
                  </w:r>
                  <w:r>
                    <w:rPr>
                      <w:rFonts w:hint="eastAsia" w:ascii="等线" w:hAnsi="等线" w:eastAsia="等线" w:cs="等线"/>
                      <w:b/>
                      <w:i w:val="0"/>
                      <w:color w:val="000000"/>
                      <w:kern w:val="0"/>
                      <w:sz w:val="18"/>
                      <w:szCs w:val="18"/>
                      <w:u w:val="none"/>
                      <w:lang w:val="en-US" w:eastAsia="zh-CN" w:bidi="ar"/>
                    </w:rPr>
                    <w:t>、参数</w:t>
                  </w:r>
                </w:p>
              </w:tc>
              <w:tc>
                <w:tcPr>
                  <w:tcW w:w="14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等线" w:hAnsi="等线" w:eastAsia="等线" w:cs="等线"/>
                      <w:b/>
                      <w:i w:val="0"/>
                      <w:color w:val="000000"/>
                      <w:kern w:val="0"/>
                      <w:sz w:val="18"/>
                      <w:szCs w:val="18"/>
                      <w:u w:val="none"/>
                      <w:lang w:val="en-US" w:eastAsia="zh-CN" w:bidi="ar"/>
                    </w:rPr>
                  </w:pPr>
                  <w:r>
                    <w:rPr>
                      <w:rFonts w:hint="default" w:ascii="等线" w:hAnsi="等线" w:eastAsia="等线" w:cs="等线"/>
                      <w:b/>
                      <w:i w:val="0"/>
                      <w:color w:val="000000"/>
                      <w:kern w:val="0"/>
                      <w:sz w:val="18"/>
                      <w:szCs w:val="18"/>
                      <w:u w:val="none"/>
                      <w:lang w:val="en-US" w:eastAsia="zh-CN" w:bidi="ar"/>
                    </w:rPr>
                    <w:t xml:space="preserve"> 价格 </w:t>
                  </w:r>
                </w:p>
              </w:tc>
              <w:tc>
                <w:tcPr>
                  <w:tcW w:w="97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等线" w:hAnsi="等线" w:eastAsia="等线" w:cs="等线"/>
                      <w:b/>
                      <w:i w:val="0"/>
                      <w:color w:val="000000"/>
                      <w:kern w:val="0"/>
                      <w:sz w:val="18"/>
                      <w:szCs w:val="18"/>
                      <w:u w:val="none"/>
                      <w:lang w:val="en-US" w:eastAsia="zh-CN" w:bidi="ar"/>
                    </w:rPr>
                  </w:pPr>
                  <w:r>
                    <w:rPr>
                      <w:rFonts w:hint="default" w:ascii="等线" w:hAnsi="等线" w:eastAsia="等线" w:cs="等线"/>
                      <w:b/>
                      <w:i w:val="0"/>
                      <w:color w:val="000000"/>
                      <w:kern w:val="0"/>
                      <w:sz w:val="18"/>
                      <w:szCs w:val="18"/>
                      <w:u w:val="none"/>
                      <w:lang w:val="en-US" w:eastAsia="zh-CN" w:bidi="ar"/>
                    </w:rPr>
                    <w:t>数量</w:t>
                  </w:r>
                </w:p>
              </w:tc>
              <w:tc>
                <w:tcPr>
                  <w:tcW w:w="144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等线" w:hAnsi="等线" w:eastAsia="等线" w:cs="等线"/>
                      <w:b/>
                      <w:i w:val="0"/>
                      <w:color w:val="000000"/>
                      <w:kern w:val="0"/>
                      <w:sz w:val="18"/>
                      <w:szCs w:val="18"/>
                      <w:u w:val="none"/>
                      <w:lang w:val="en-US" w:eastAsia="zh-CN" w:bidi="ar"/>
                    </w:rPr>
                  </w:pPr>
                  <w:r>
                    <w:rPr>
                      <w:rFonts w:hint="default" w:ascii="等线" w:hAnsi="等线" w:eastAsia="等线" w:cs="等线"/>
                      <w:b/>
                      <w:i w:val="0"/>
                      <w:color w:val="000000"/>
                      <w:kern w:val="0"/>
                      <w:sz w:val="18"/>
                      <w:szCs w:val="18"/>
                      <w:u w:val="none"/>
                      <w:lang w:val="en-US" w:eastAsia="zh-CN" w:bidi="ar"/>
                    </w:rPr>
                    <w:t xml:space="preserve"> 小计 </w:t>
                  </w:r>
                </w:p>
              </w:tc>
            </w:tr>
            <w:tr>
              <w:tblPrEx>
                <w:tblLayout w:type="fixed"/>
                <w:tblCellMar>
                  <w:top w:w="0" w:type="dxa"/>
                  <w:left w:w="0" w:type="dxa"/>
                  <w:bottom w:w="0" w:type="dxa"/>
                  <w:right w:w="0" w:type="dxa"/>
                </w:tblCellMar>
              </w:tblPrEx>
              <w:trPr>
                <w:trHeight w:val="225" w:hRule="atLeast"/>
              </w:trPr>
              <w:tc>
                <w:tcPr>
                  <w:tcW w:w="2842" w:type="dxa"/>
                  <w:tcBorders>
                    <w:top w:val="single" w:color="000000" w:sz="4" w:space="0"/>
                    <w:left w:val="single" w:color="000000" w:sz="4" w:space="0"/>
                    <w:bottom w:val="single" w:color="000000" w:sz="4" w:space="0"/>
                    <w:right w:val="single" w:color="000000" w:sz="4" w:space="0"/>
                  </w:tcBorders>
                  <w:shd w:val="clear" w:color="auto" w:fill="FFC000"/>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b/>
                      <w:i w:val="0"/>
                      <w:color w:val="000000"/>
                      <w:sz w:val="18"/>
                      <w:szCs w:val="18"/>
                      <w:u w:val="none"/>
                    </w:rPr>
                  </w:pPr>
                  <w:r>
                    <w:rPr>
                      <w:rFonts w:hint="default" w:ascii="等线" w:hAnsi="等线" w:eastAsia="等线" w:cs="等线"/>
                      <w:b/>
                      <w:i w:val="0"/>
                      <w:color w:val="000000"/>
                      <w:kern w:val="0"/>
                      <w:sz w:val="18"/>
                      <w:szCs w:val="18"/>
                      <w:u w:val="none"/>
                      <w:bdr w:val="none" w:color="auto" w:sz="0" w:space="0"/>
                      <w:lang w:val="en-US" w:eastAsia="zh-CN" w:bidi="ar"/>
                    </w:rPr>
                    <w:t>易智瑞地理信息系统桌面软件 V10.7</w:t>
                  </w:r>
                  <w:r>
                    <w:rPr>
                      <w:rFonts w:hint="eastAsia" w:ascii="等线" w:hAnsi="等线" w:eastAsia="等线" w:cs="等线"/>
                      <w:b/>
                      <w:i w:val="0"/>
                      <w:color w:val="000000"/>
                      <w:kern w:val="0"/>
                      <w:sz w:val="18"/>
                      <w:szCs w:val="18"/>
                      <w:u w:val="none"/>
                      <w:bdr w:val="none" w:color="auto" w:sz="0" w:space="0"/>
                      <w:lang w:val="en-US" w:eastAsia="zh-CN" w:bidi="ar"/>
                    </w:rPr>
                    <w:t>（或高于）</w:t>
                  </w:r>
                </w:p>
              </w:tc>
              <w:tc>
                <w:tcPr>
                  <w:tcW w:w="7170" w:type="dxa"/>
                  <w:tcBorders>
                    <w:top w:val="single" w:color="000000" w:sz="4" w:space="0"/>
                    <w:left w:val="single" w:color="000000" w:sz="4" w:space="0"/>
                    <w:bottom w:val="single" w:color="000000" w:sz="4" w:space="0"/>
                    <w:right w:val="single" w:color="000000" w:sz="4" w:space="0"/>
                  </w:tcBorders>
                  <w:shd w:val="clear" w:color="auto" w:fill="FFC000"/>
                  <w:noWrap/>
                  <w:tcMar>
                    <w:top w:w="15" w:type="dxa"/>
                    <w:left w:w="15" w:type="dxa"/>
                    <w:right w:w="15" w:type="dxa"/>
                  </w:tcMar>
                  <w:vAlign w:val="center"/>
                </w:tcPr>
                <w:p>
                  <w:pPr>
                    <w:jc w:val="left"/>
                    <w:rPr>
                      <w:rFonts w:hint="default" w:ascii="等线" w:hAnsi="等线" w:eastAsia="等线" w:cs="等线"/>
                      <w:b/>
                      <w:i w:val="0"/>
                      <w:color w:val="000000"/>
                      <w:kern w:val="0"/>
                      <w:sz w:val="18"/>
                      <w:szCs w:val="18"/>
                      <w:u w:val="none"/>
                      <w:bdr w:val="none" w:color="auto" w:sz="0" w:space="0"/>
                      <w:lang w:val="en-US" w:eastAsia="zh-CN" w:bidi="ar"/>
                    </w:rPr>
                  </w:pPr>
                </w:p>
              </w:tc>
              <w:tc>
                <w:tcPr>
                  <w:tcW w:w="1470" w:type="dxa"/>
                  <w:tcBorders>
                    <w:top w:val="single" w:color="000000" w:sz="4" w:space="0"/>
                    <w:left w:val="single" w:color="000000" w:sz="4" w:space="0"/>
                    <w:bottom w:val="single" w:color="000000" w:sz="4" w:space="0"/>
                    <w:right w:val="single" w:color="000000" w:sz="4" w:space="0"/>
                  </w:tcBorders>
                  <w:shd w:val="clear" w:color="auto" w:fill="FFC000"/>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b/>
                      <w:i w:val="0"/>
                      <w:color w:val="000000"/>
                      <w:kern w:val="0"/>
                      <w:sz w:val="18"/>
                      <w:szCs w:val="18"/>
                      <w:u w:val="none"/>
                      <w:bdr w:val="none" w:color="auto" w:sz="0" w:space="0"/>
                      <w:lang w:val="en-US" w:eastAsia="zh-CN" w:bidi="ar"/>
                    </w:rPr>
                  </w:pPr>
                  <w:r>
                    <w:rPr>
                      <w:rFonts w:hint="default" w:ascii="等线" w:hAnsi="等线" w:eastAsia="等线" w:cs="等线"/>
                      <w:b/>
                      <w:i w:val="0"/>
                      <w:color w:val="000000"/>
                      <w:kern w:val="0"/>
                      <w:sz w:val="18"/>
                      <w:szCs w:val="18"/>
                      <w:u w:val="none"/>
                      <w:lang w:val="en-US" w:eastAsia="zh-CN" w:bidi="ar"/>
                    </w:rPr>
                    <w:t xml:space="preserve"> ¥63,800.00 </w:t>
                  </w:r>
                </w:p>
              </w:tc>
              <w:tc>
                <w:tcPr>
                  <w:tcW w:w="975" w:type="dxa"/>
                  <w:tcBorders>
                    <w:top w:val="single" w:color="000000" w:sz="4" w:space="0"/>
                    <w:left w:val="single" w:color="000000" w:sz="4" w:space="0"/>
                    <w:bottom w:val="single" w:color="000000" w:sz="4" w:space="0"/>
                    <w:right w:val="single" w:color="000000" w:sz="4" w:space="0"/>
                  </w:tcBorders>
                  <w:shd w:val="clear" w:color="auto" w:fill="FFC000"/>
                  <w:noWrap/>
                  <w:tcMar>
                    <w:top w:w="15" w:type="dxa"/>
                    <w:left w:w="15" w:type="dxa"/>
                    <w:right w:w="15" w:type="dxa"/>
                  </w:tcMar>
                  <w:vAlign w:val="center"/>
                </w:tcPr>
                <w:p>
                  <w:pPr>
                    <w:jc w:val="center"/>
                    <w:rPr>
                      <w:rFonts w:hint="default" w:ascii="等线" w:hAnsi="等线" w:eastAsia="等线" w:cs="等线"/>
                      <w:b/>
                      <w:i w:val="0"/>
                      <w:color w:val="000000"/>
                      <w:kern w:val="0"/>
                      <w:sz w:val="18"/>
                      <w:szCs w:val="18"/>
                      <w:u w:val="none"/>
                      <w:lang w:val="en-US" w:eastAsia="zh-CN" w:bidi="ar"/>
                    </w:rPr>
                  </w:pPr>
                </w:p>
              </w:tc>
              <w:tc>
                <w:tcPr>
                  <w:tcW w:w="1440" w:type="dxa"/>
                  <w:tcBorders>
                    <w:top w:val="single" w:color="000000" w:sz="4" w:space="0"/>
                    <w:left w:val="single" w:color="000000" w:sz="4" w:space="0"/>
                    <w:bottom w:val="single" w:color="000000" w:sz="4" w:space="0"/>
                    <w:right w:val="single" w:color="000000" w:sz="4" w:space="0"/>
                  </w:tcBorders>
                  <w:shd w:val="clear" w:color="auto" w:fill="FFC000"/>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b/>
                      <w:i w:val="0"/>
                      <w:color w:val="000000"/>
                      <w:kern w:val="0"/>
                      <w:sz w:val="18"/>
                      <w:szCs w:val="18"/>
                      <w:u w:val="none"/>
                      <w:lang w:val="en-US" w:eastAsia="zh-CN" w:bidi="ar"/>
                    </w:rPr>
                  </w:pPr>
                  <w:r>
                    <w:rPr>
                      <w:rFonts w:hint="default" w:ascii="等线" w:hAnsi="等线" w:eastAsia="等线" w:cs="等线"/>
                      <w:b/>
                      <w:i w:val="0"/>
                      <w:color w:val="000000"/>
                      <w:kern w:val="0"/>
                      <w:sz w:val="18"/>
                      <w:szCs w:val="18"/>
                      <w:u w:val="none"/>
                      <w:lang w:val="en-US" w:eastAsia="zh-CN" w:bidi="ar"/>
                    </w:rPr>
                    <w:t xml:space="preserve"> ¥63,800.00 </w:t>
                  </w:r>
                </w:p>
              </w:tc>
            </w:tr>
            <w:tr>
              <w:tblPrEx>
                <w:tblLayout w:type="fixed"/>
                <w:tblCellMar>
                  <w:top w:w="0" w:type="dxa"/>
                  <w:left w:w="0" w:type="dxa"/>
                  <w:bottom w:w="0" w:type="dxa"/>
                  <w:right w:w="0" w:type="dxa"/>
                </w:tblCellMar>
              </w:tblPrEx>
              <w:trPr>
                <w:trHeight w:val="90" w:hRule="atLeast"/>
              </w:trPr>
              <w:tc>
                <w:tcPr>
                  <w:tcW w:w="2842"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ind w:firstLineChars="200"/>
                    <w:jc w:val="left"/>
                    <w:textAlignment w:val="center"/>
                    <w:rPr>
                      <w:rFonts w:hint="default" w:ascii="等线" w:hAnsi="等线" w:eastAsia="等线" w:cs="等线"/>
                      <w:i w:val="0"/>
                      <w:color w:val="0070C0"/>
                      <w:sz w:val="18"/>
                      <w:szCs w:val="18"/>
                      <w:u w:val="none"/>
                    </w:rPr>
                  </w:pPr>
                  <w:r>
                    <w:rPr>
                      <w:rFonts w:hint="default" w:ascii="等线" w:hAnsi="等线" w:eastAsia="等线" w:cs="等线"/>
                      <w:i w:val="0"/>
                      <w:color w:val="0070C0"/>
                      <w:kern w:val="0"/>
                      <w:sz w:val="18"/>
                      <w:szCs w:val="18"/>
                      <w:u w:val="none"/>
                      <w:bdr w:val="none" w:color="auto" w:sz="0" w:space="0"/>
                      <w:lang w:val="en-US" w:eastAsia="zh-CN" w:bidi="ar"/>
                    </w:rPr>
                    <w:t>易智瑞地理信息系统</w:t>
                  </w:r>
                  <w:r>
                    <w:rPr>
                      <w:rStyle w:val="20"/>
                      <w:bdr w:val="none" w:color="auto" w:sz="0" w:space="0"/>
                      <w:lang w:val="en-US" w:eastAsia="zh-CN" w:bidi="ar"/>
                    </w:rPr>
                    <w:t>高级版桌面软件V10.7-院校包（5用户）</w:t>
                  </w:r>
                </w:p>
              </w:tc>
              <w:tc>
                <w:tcPr>
                  <w:tcW w:w="71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高级版是易智瑞桌面的旗舰产品，包含基础版和标准版的所有功能，是一个完整的GIS数据创建、更新、查询、制图、分析和管理的系统，可以执行高级的空间处理工具和制图综合功能。含一年软件升级服务。</w:t>
                  </w:r>
                </w:p>
                <w:p>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eastAsia" w:ascii="等线" w:hAnsi="等线" w:eastAsia="等线" w:cs="等线"/>
                      <w:b/>
                      <w:bCs/>
                      <w:i w:val="0"/>
                      <w:color w:val="000000"/>
                      <w:kern w:val="0"/>
                      <w:sz w:val="18"/>
                      <w:szCs w:val="18"/>
                      <w:u w:val="none"/>
                      <w:lang w:val="en-US" w:eastAsia="zh-CN" w:bidi="ar"/>
                    </w:rPr>
                    <w:t>参数详见附件</w:t>
                  </w:r>
                </w:p>
              </w:tc>
              <w:tc>
                <w:tcPr>
                  <w:tcW w:w="14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righ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 xml:space="preserve"> ¥50,000.00 </w:t>
                  </w:r>
                </w:p>
              </w:tc>
              <w:tc>
                <w:tcPr>
                  <w:tcW w:w="97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w:t>
                  </w:r>
                </w:p>
              </w:tc>
              <w:tc>
                <w:tcPr>
                  <w:tcW w:w="144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righ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 xml:space="preserve"> ¥50,000.00 </w:t>
                  </w:r>
                </w:p>
              </w:tc>
            </w:tr>
            <w:tr>
              <w:tblPrEx>
                <w:tblLayout w:type="fixed"/>
                <w:tblCellMar>
                  <w:top w:w="0" w:type="dxa"/>
                  <w:left w:w="0" w:type="dxa"/>
                  <w:bottom w:w="0" w:type="dxa"/>
                  <w:right w:w="0" w:type="dxa"/>
                </w:tblCellMar>
              </w:tblPrEx>
              <w:trPr>
                <w:trHeight w:val="225" w:hRule="atLeast"/>
              </w:trPr>
              <w:tc>
                <w:tcPr>
                  <w:tcW w:w="2842"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ind w:firstLineChars="200"/>
                    <w:jc w:val="left"/>
                    <w:textAlignment w:val="center"/>
                    <w:rPr>
                      <w:rFonts w:hint="default" w:ascii="等线" w:hAnsi="等线" w:eastAsia="等线" w:cs="等线"/>
                      <w:i w:val="0"/>
                      <w:color w:val="0070C0"/>
                      <w:sz w:val="18"/>
                      <w:szCs w:val="18"/>
                      <w:u w:val="none"/>
                    </w:rPr>
                  </w:pPr>
                  <w:r>
                    <w:rPr>
                      <w:rFonts w:hint="default" w:ascii="等线" w:hAnsi="等线" w:eastAsia="等线" w:cs="等线"/>
                      <w:i w:val="0"/>
                      <w:color w:val="0070C0"/>
                      <w:kern w:val="0"/>
                      <w:sz w:val="18"/>
                      <w:szCs w:val="18"/>
                      <w:u w:val="none"/>
                      <w:bdr w:val="none" w:color="auto" w:sz="0" w:space="0"/>
                      <w:lang w:val="en-US" w:eastAsia="zh-CN" w:bidi="ar"/>
                    </w:rPr>
                    <w:t>易智瑞地理信息系统</w:t>
                  </w:r>
                  <w:r>
                    <w:rPr>
                      <w:rStyle w:val="20"/>
                      <w:bdr w:val="none" w:color="auto" w:sz="0" w:space="0"/>
                      <w:lang w:val="en-US" w:eastAsia="zh-CN" w:bidi="ar"/>
                    </w:rPr>
                    <w:t>桌面空间分析软件-院校包（5用户）</w:t>
                  </w:r>
                </w:p>
              </w:tc>
              <w:tc>
                <w:tcPr>
                  <w:tcW w:w="71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提供众多强大的栅格建模和分析功能，支持创建、查询和分析栅格数据并进行制图，从现存数据中得到新的数据及衍生信息，分析空间关系和空间特征，还可以进行栅格和矢量结合的分析。含一年软件升级服务。</w:t>
                  </w:r>
                </w:p>
                <w:p>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eastAsia" w:ascii="等线" w:hAnsi="等线" w:eastAsia="等线" w:cs="等线"/>
                      <w:b/>
                      <w:bCs/>
                      <w:i w:val="0"/>
                      <w:color w:val="000000"/>
                      <w:kern w:val="0"/>
                      <w:sz w:val="18"/>
                      <w:szCs w:val="18"/>
                      <w:u w:val="none"/>
                      <w:lang w:val="en-US" w:eastAsia="zh-CN" w:bidi="ar"/>
                    </w:rPr>
                    <w:t>参数详见附件</w:t>
                  </w:r>
                </w:p>
              </w:tc>
              <w:tc>
                <w:tcPr>
                  <w:tcW w:w="14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righ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 xml:space="preserve"> ¥13,800.00 </w:t>
                  </w:r>
                </w:p>
              </w:tc>
              <w:tc>
                <w:tcPr>
                  <w:tcW w:w="97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w:t>
                  </w:r>
                </w:p>
              </w:tc>
              <w:tc>
                <w:tcPr>
                  <w:tcW w:w="144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righ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 xml:space="preserve"> ¥13,800.00 </w:t>
                  </w:r>
                </w:p>
              </w:tc>
            </w:tr>
            <w:tr>
              <w:tblPrEx>
                <w:tblLayout w:type="fixed"/>
                <w:tblCellMar>
                  <w:top w:w="0" w:type="dxa"/>
                  <w:left w:w="0" w:type="dxa"/>
                  <w:bottom w:w="0" w:type="dxa"/>
                  <w:right w:w="0" w:type="dxa"/>
                </w:tblCellMar>
              </w:tblPrEx>
              <w:trPr>
                <w:trHeight w:val="225" w:hRule="atLeast"/>
              </w:trPr>
              <w:tc>
                <w:tcPr>
                  <w:tcW w:w="2842" w:type="dxa"/>
                  <w:tcBorders>
                    <w:top w:val="single" w:color="000000" w:sz="4" w:space="0"/>
                    <w:left w:val="single" w:color="000000" w:sz="4" w:space="0"/>
                    <w:bottom w:val="single" w:color="000000" w:sz="4" w:space="0"/>
                    <w:right w:val="single" w:color="000000" w:sz="4" w:space="0"/>
                  </w:tcBorders>
                  <w:shd w:val="clear" w:color="auto" w:fill="FFC000"/>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b/>
                      <w:i w:val="0"/>
                      <w:color w:val="000000"/>
                      <w:sz w:val="18"/>
                      <w:szCs w:val="18"/>
                      <w:u w:val="none"/>
                    </w:rPr>
                  </w:pPr>
                  <w:r>
                    <w:rPr>
                      <w:rFonts w:hint="default" w:ascii="等线" w:hAnsi="等线" w:eastAsia="等线" w:cs="等线"/>
                      <w:b/>
                      <w:i w:val="0"/>
                      <w:color w:val="000000"/>
                      <w:kern w:val="0"/>
                      <w:sz w:val="18"/>
                      <w:szCs w:val="18"/>
                      <w:u w:val="none"/>
                      <w:bdr w:val="none" w:color="auto" w:sz="0" w:space="0"/>
                      <w:lang w:val="en-US" w:eastAsia="zh-CN" w:bidi="ar"/>
                    </w:rPr>
                    <w:t>易智瑞地理信息系统企业级平台软件 V10.7</w:t>
                  </w:r>
                  <w:r>
                    <w:rPr>
                      <w:rFonts w:hint="eastAsia" w:ascii="等线" w:hAnsi="等线" w:eastAsia="等线" w:cs="等线"/>
                      <w:b/>
                      <w:i w:val="0"/>
                      <w:color w:val="000000"/>
                      <w:kern w:val="0"/>
                      <w:sz w:val="18"/>
                      <w:szCs w:val="18"/>
                      <w:u w:val="none"/>
                      <w:lang w:val="en-US" w:eastAsia="zh-CN" w:bidi="ar"/>
                    </w:rPr>
                    <w:t>（或高于）</w:t>
                  </w:r>
                </w:p>
              </w:tc>
              <w:tc>
                <w:tcPr>
                  <w:tcW w:w="7170" w:type="dxa"/>
                  <w:tcBorders>
                    <w:top w:val="single" w:color="000000" w:sz="4" w:space="0"/>
                    <w:left w:val="single" w:color="000000" w:sz="4" w:space="0"/>
                    <w:bottom w:val="single" w:color="000000" w:sz="4" w:space="0"/>
                    <w:right w:val="single" w:color="000000" w:sz="4" w:space="0"/>
                  </w:tcBorders>
                  <w:shd w:val="clear" w:color="auto" w:fill="FFC000"/>
                  <w:noWrap/>
                  <w:tcMar>
                    <w:top w:w="15" w:type="dxa"/>
                    <w:left w:w="15" w:type="dxa"/>
                    <w:right w:w="15" w:type="dxa"/>
                  </w:tcMar>
                  <w:vAlign w:val="center"/>
                </w:tcPr>
                <w:p>
                  <w:pPr>
                    <w:jc w:val="left"/>
                    <w:rPr>
                      <w:rFonts w:hint="default" w:ascii="等线" w:hAnsi="等线" w:eastAsia="等线" w:cs="等线"/>
                      <w:b/>
                      <w:i w:val="0"/>
                      <w:color w:val="000000"/>
                      <w:kern w:val="0"/>
                      <w:sz w:val="18"/>
                      <w:szCs w:val="18"/>
                      <w:u w:val="none"/>
                      <w:bdr w:val="none" w:color="auto" w:sz="0" w:space="0"/>
                      <w:lang w:val="en-US" w:eastAsia="zh-CN" w:bidi="ar"/>
                    </w:rPr>
                  </w:pPr>
                </w:p>
              </w:tc>
              <w:tc>
                <w:tcPr>
                  <w:tcW w:w="1470" w:type="dxa"/>
                  <w:tcBorders>
                    <w:top w:val="single" w:color="000000" w:sz="4" w:space="0"/>
                    <w:left w:val="single" w:color="000000" w:sz="4" w:space="0"/>
                    <w:bottom w:val="single" w:color="000000" w:sz="4" w:space="0"/>
                    <w:right w:val="single" w:color="000000" w:sz="4" w:space="0"/>
                  </w:tcBorders>
                  <w:shd w:val="clear" w:color="auto" w:fill="FFC000"/>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b/>
                      <w:i w:val="0"/>
                      <w:color w:val="000000"/>
                      <w:kern w:val="0"/>
                      <w:sz w:val="18"/>
                      <w:szCs w:val="18"/>
                      <w:u w:val="none"/>
                      <w:bdr w:val="none" w:color="auto" w:sz="0" w:space="0"/>
                      <w:lang w:val="en-US" w:eastAsia="zh-CN" w:bidi="ar"/>
                    </w:rPr>
                  </w:pPr>
                  <w:r>
                    <w:rPr>
                      <w:rFonts w:hint="default" w:ascii="等线" w:hAnsi="等线" w:eastAsia="等线" w:cs="等线"/>
                      <w:b/>
                      <w:i w:val="0"/>
                      <w:color w:val="000000"/>
                      <w:kern w:val="0"/>
                      <w:sz w:val="18"/>
                      <w:szCs w:val="18"/>
                      <w:u w:val="none"/>
                      <w:lang w:val="en-US" w:eastAsia="zh-CN" w:bidi="ar"/>
                    </w:rPr>
                    <w:t xml:space="preserve"> ¥170,000.00 </w:t>
                  </w:r>
                </w:p>
              </w:tc>
              <w:tc>
                <w:tcPr>
                  <w:tcW w:w="975" w:type="dxa"/>
                  <w:tcBorders>
                    <w:top w:val="single" w:color="000000" w:sz="4" w:space="0"/>
                    <w:left w:val="single" w:color="000000" w:sz="4" w:space="0"/>
                    <w:bottom w:val="single" w:color="000000" w:sz="4" w:space="0"/>
                    <w:right w:val="single" w:color="000000" w:sz="4" w:space="0"/>
                  </w:tcBorders>
                  <w:shd w:val="clear" w:color="auto" w:fill="FFC000"/>
                  <w:noWrap/>
                  <w:tcMar>
                    <w:top w:w="15" w:type="dxa"/>
                    <w:left w:w="15" w:type="dxa"/>
                    <w:right w:w="15" w:type="dxa"/>
                  </w:tcMar>
                  <w:vAlign w:val="center"/>
                </w:tcPr>
                <w:p>
                  <w:pPr>
                    <w:jc w:val="center"/>
                    <w:rPr>
                      <w:rFonts w:hint="default" w:ascii="等线" w:hAnsi="等线" w:eastAsia="等线" w:cs="等线"/>
                      <w:b/>
                      <w:i w:val="0"/>
                      <w:color w:val="000000"/>
                      <w:kern w:val="0"/>
                      <w:sz w:val="18"/>
                      <w:szCs w:val="18"/>
                      <w:u w:val="none"/>
                      <w:lang w:val="en-US" w:eastAsia="zh-CN" w:bidi="ar"/>
                    </w:rPr>
                  </w:pPr>
                </w:p>
              </w:tc>
              <w:tc>
                <w:tcPr>
                  <w:tcW w:w="1440" w:type="dxa"/>
                  <w:tcBorders>
                    <w:top w:val="single" w:color="000000" w:sz="4" w:space="0"/>
                    <w:left w:val="single" w:color="000000" w:sz="4" w:space="0"/>
                    <w:bottom w:val="single" w:color="000000" w:sz="4" w:space="0"/>
                    <w:right w:val="single" w:color="000000" w:sz="4" w:space="0"/>
                  </w:tcBorders>
                  <w:shd w:val="clear" w:color="auto" w:fill="FFC000"/>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b/>
                      <w:i w:val="0"/>
                      <w:color w:val="000000"/>
                      <w:kern w:val="0"/>
                      <w:sz w:val="18"/>
                      <w:szCs w:val="18"/>
                      <w:u w:val="none"/>
                      <w:lang w:val="en-US" w:eastAsia="zh-CN" w:bidi="ar"/>
                    </w:rPr>
                  </w:pPr>
                  <w:r>
                    <w:rPr>
                      <w:rFonts w:hint="default" w:ascii="等线" w:hAnsi="等线" w:eastAsia="等线" w:cs="等线"/>
                      <w:b/>
                      <w:i w:val="0"/>
                      <w:color w:val="000000"/>
                      <w:kern w:val="0"/>
                      <w:sz w:val="18"/>
                      <w:szCs w:val="18"/>
                      <w:u w:val="none"/>
                      <w:lang w:val="en-US" w:eastAsia="zh-CN" w:bidi="ar"/>
                    </w:rPr>
                    <w:t xml:space="preserve"> ¥170,000.00 </w:t>
                  </w:r>
                </w:p>
              </w:tc>
            </w:tr>
            <w:tr>
              <w:tblPrEx>
                <w:shd w:val="clear"/>
                <w:tblLayout w:type="fixed"/>
                <w:tblCellMar>
                  <w:top w:w="0" w:type="dxa"/>
                  <w:left w:w="0" w:type="dxa"/>
                  <w:bottom w:w="0" w:type="dxa"/>
                  <w:right w:w="0" w:type="dxa"/>
                </w:tblCellMar>
              </w:tblPrEx>
              <w:trPr>
                <w:trHeight w:val="225" w:hRule="atLeast"/>
              </w:trPr>
              <w:tc>
                <w:tcPr>
                  <w:tcW w:w="2842"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ind w:firstLineChars="200"/>
                    <w:jc w:val="left"/>
                    <w:textAlignment w:val="center"/>
                    <w:rPr>
                      <w:rFonts w:hint="default" w:ascii="等线" w:hAnsi="等线" w:eastAsia="等线" w:cs="等线"/>
                      <w:i w:val="0"/>
                      <w:color w:val="0070C0"/>
                      <w:sz w:val="18"/>
                      <w:szCs w:val="18"/>
                      <w:u w:val="none"/>
                    </w:rPr>
                  </w:pPr>
                  <w:r>
                    <w:rPr>
                      <w:rFonts w:hint="default" w:ascii="等线" w:hAnsi="等线" w:eastAsia="等线" w:cs="等线"/>
                      <w:i w:val="0"/>
                      <w:color w:val="0070C0"/>
                      <w:kern w:val="0"/>
                      <w:sz w:val="18"/>
                      <w:szCs w:val="18"/>
                      <w:u w:val="none"/>
                      <w:bdr w:val="none" w:color="auto" w:sz="0" w:space="0"/>
                      <w:lang w:val="en-US" w:eastAsia="zh-CN" w:bidi="ar"/>
                    </w:rPr>
                    <w:t>易智瑞地理信息系统</w:t>
                  </w:r>
                  <w:r>
                    <w:rPr>
                      <w:rStyle w:val="20"/>
                      <w:bdr w:val="none" w:color="auto" w:sz="0" w:space="0"/>
                      <w:lang w:val="en-US" w:eastAsia="zh-CN" w:bidi="ar"/>
                    </w:rPr>
                    <w:t>高级版企业级平台软件V10.7-院校包（5个级别II授权用户）</w:t>
                  </w:r>
                </w:p>
              </w:tc>
              <w:tc>
                <w:tcPr>
                  <w:tcW w:w="71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以Web为中心的全功能制图和分析平台，可部署在企业级或云计算架构的环境中，包含高级版服务器产品，能够将数据、分析功能等地理资源发布为服务，并在门户组件中集中组织与管理，然后在组织内外进行分享，同时提供丰富的即拿即用的Apps及配置型Apps，可随时、随地、在各种终端（桌面、Web、移动设备）上获取地图、地理信息及分析能力。支持空间分析、三维分析、网络分析、地统计分析、逻辑示意图分析等高级分析能力。包含企业级平台软件高级版1个；级别II的授权用户5个，用于登录门户使用平台能力，级别II用户能够创建内容及其他任务。含一年软件升级服务。</w:t>
                  </w:r>
                </w:p>
                <w:p>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eastAsia" w:ascii="等线" w:hAnsi="等线" w:eastAsia="等线" w:cs="等线"/>
                      <w:b/>
                      <w:bCs/>
                      <w:i w:val="0"/>
                      <w:color w:val="000000"/>
                      <w:kern w:val="0"/>
                      <w:sz w:val="18"/>
                      <w:szCs w:val="18"/>
                      <w:u w:val="none"/>
                      <w:lang w:val="en-US" w:eastAsia="zh-CN" w:bidi="ar"/>
                    </w:rPr>
                    <w:t>参数详见附件</w:t>
                  </w:r>
                </w:p>
              </w:tc>
              <w:tc>
                <w:tcPr>
                  <w:tcW w:w="14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righ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 xml:space="preserve"> ¥170,000.00 </w:t>
                  </w:r>
                </w:p>
              </w:tc>
              <w:tc>
                <w:tcPr>
                  <w:tcW w:w="97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1</w:t>
                  </w:r>
                </w:p>
              </w:tc>
              <w:tc>
                <w:tcPr>
                  <w:tcW w:w="144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righ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 xml:space="preserve"> ¥170,000.00 </w:t>
                  </w:r>
                </w:p>
              </w:tc>
            </w:tr>
            <w:tr>
              <w:tblPrEx>
                <w:tblLayout w:type="fixed"/>
                <w:tblCellMar>
                  <w:top w:w="0" w:type="dxa"/>
                  <w:left w:w="0" w:type="dxa"/>
                  <w:bottom w:w="0" w:type="dxa"/>
                  <w:right w:w="0" w:type="dxa"/>
                </w:tblCellMar>
              </w:tblPrEx>
              <w:trPr>
                <w:trHeight w:val="225" w:hRule="atLeast"/>
              </w:trPr>
              <w:tc>
                <w:tcPr>
                  <w:tcW w:w="2842" w:type="dxa"/>
                  <w:tcBorders>
                    <w:top w:val="single" w:color="000000" w:sz="4" w:space="0"/>
                    <w:left w:val="single" w:color="000000" w:sz="4" w:space="0"/>
                    <w:bottom w:val="single" w:color="000000" w:sz="4" w:space="0"/>
                    <w:right w:val="single" w:color="000000" w:sz="4" w:space="0"/>
                  </w:tcBorders>
                  <w:shd w:val="clear" w:color="auto" w:fill="FFC000"/>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sz w:val="18"/>
                      <w:szCs w:val="18"/>
                      <w:u w:val="none"/>
                    </w:rPr>
                  </w:pPr>
                  <w:r>
                    <w:rPr>
                      <w:rFonts w:hint="default" w:ascii="等线" w:hAnsi="等线" w:eastAsia="等线" w:cs="等线"/>
                      <w:i w:val="0"/>
                      <w:color w:val="000000"/>
                      <w:kern w:val="0"/>
                      <w:sz w:val="18"/>
                      <w:szCs w:val="18"/>
                      <w:u w:val="none"/>
                      <w:bdr w:val="none" w:color="auto" w:sz="0" w:space="0"/>
                      <w:lang w:val="en-US" w:eastAsia="zh-CN" w:bidi="ar"/>
                    </w:rPr>
                    <w:t>ArcGIS中国培训中心培训课程</w:t>
                  </w:r>
                </w:p>
              </w:tc>
              <w:tc>
                <w:tcPr>
                  <w:tcW w:w="7170" w:type="dxa"/>
                  <w:tcBorders>
                    <w:top w:val="single" w:color="000000" w:sz="4" w:space="0"/>
                    <w:left w:val="single" w:color="000000" w:sz="4" w:space="0"/>
                    <w:bottom w:val="single" w:color="000000" w:sz="4" w:space="0"/>
                    <w:right w:val="single" w:color="000000" w:sz="4" w:space="0"/>
                  </w:tcBorders>
                  <w:shd w:val="clear" w:color="auto" w:fill="FFC000"/>
                  <w:noWrap/>
                  <w:tcMar>
                    <w:top w:w="15" w:type="dxa"/>
                    <w:left w:w="15" w:type="dxa"/>
                    <w:right w:w="15" w:type="dxa"/>
                  </w:tcMar>
                  <w:vAlign w:val="center"/>
                </w:tcPr>
                <w:p>
                  <w:pPr>
                    <w:rPr>
                      <w:rFonts w:hint="default" w:ascii="等线" w:hAnsi="等线" w:eastAsia="等线" w:cs="等线"/>
                      <w:i w:val="0"/>
                      <w:color w:val="000000"/>
                      <w:kern w:val="0"/>
                      <w:sz w:val="18"/>
                      <w:szCs w:val="18"/>
                      <w:u w:val="none"/>
                      <w:bdr w:val="none" w:color="auto" w:sz="0" w:space="0"/>
                      <w:lang w:val="en-US" w:eastAsia="zh-CN" w:bidi="ar"/>
                    </w:rPr>
                  </w:pPr>
                </w:p>
              </w:tc>
              <w:tc>
                <w:tcPr>
                  <w:tcW w:w="1470" w:type="dxa"/>
                  <w:tcBorders>
                    <w:top w:val="single" w:color="000000" w:sz="4" w:space="0"/>
                    <w:left w:val="single" w:color="000000" w:sz="4" w:space="0"/>
                    <w:bottom w:val="single" w:color="000000" w:sz="4" w:space="0"/>
                    <w:right w:val="single" w:color="000000" w:sz="4" w:space="0"/>
                  </w:tcBorders>
                  <w:shd w:val="clear" w:color="auto" w:fill="FFC000"/>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kern w:val="0"/>
                      <w:sz w:val="18"/>
                      <w:szCs w:val="18"/>
                      <w:u w:val="none"/>
                      <w:bdr w:val="none" w:color="auto" w:sz="0" w:space="0"/>
                      <w:lang w:val="en-US" w:eastAsia="zh-CN" w:bidi="ar"/>
                    </w:rPr>
                  </w:pPr>
                  <w:r>
                    <w:rPr>
                      <w:rFonts w:hint="default" w:ascii="等线" w:hAnsi="等线" w:eastAsia="等线" w:cs="等线"/>
                      <w:i w:val="0"/>
                      <w:color w:val="000000"/>
                      <w:kern w:val="0"/>
                      <w:sz w:val="18"/>
                      <w:szCs w:val="18"/>
                      <w:u w:val="none"/>
                      <w:lang w:val="en-US" w:eastAsia="zh-CN" w:bidi="ar"/>
                    </w:rPr>
                    <w:t>￥0</w:t>
                  </w:r>
                </w:p>
              </w:tc>
              <w:tc>
                <w:tcPr>
                  <w:tcW w:w="975" w:type="dxa"/>
                  <w:tcBorders>
                    <w:top w:val="single" w:color="000000" w:sz="4" w:space="0"/>
                    <w:left w:val="single" w:color="000000" w:sz="4" w:space="0"/>
                    <w:bottom w:val="single" w:color="000000" w:sz="4" w:space="0"/>
                    <w:right w:val="single" w:color="000000" w:sz="4" w:space="0"/>
                  </w:tcBorders>
                  <w:shd w:val="clear" w:color="auto" w:fill="FFC000"/>
                  <w:noWrap/>
                  <w:tcMar>
                    <w:top w:w="15" w:type="dxa"/>
                    <w:left w:w="15" w:type="dxa"/>
                    <w:right w:w="15" w:type="dxa"/>
                  </w:tcMar>
                  <w:vAlign w:val="center"/>
                </w:tcPr>
                <w:p>
                  <w:pPr>
                    <w:jc w:val="center"/>
                    <w:rPr>
                      <w:rFonts w:hint="default" w:ascii="等线" w:hAnsi="等线" w:eastAsia="等线" w:cs="等线"/>
                      <w:i w:val="0"/>
                      <w:color w:val="000000"/>
                      <w:kern w:val="0"/>
                      <w:sz w:val="18"/>
                      <w:szCs w:val="18"/>
                      <w:u w:val="none"/>
                      <w:lang w:val="en-US" w:eastAsia="zh-CN" w:bidi="ar"/>
                    </w:rPr>
                  </w:pPr>
                </w:p>
              </w:tc>
              <w:tc>
                <w:tcPr>
                  <w:tcW w:w="1440" w:type="dxa"/>
                  <w:tcBorders>
                    <w:top w:val="single" w:color="000000" w:sz="4" w:space="0"/>
                    <w:left w:val="single" w:color="000000" w:sz="4" w:space="0"/>
                    <w:bottom w:val="single" w:color="000000" w:sz="4" w:space="0"/>
                    <w:right w:val="single" w:color="000000" w:sz="4" w:space="0"/>
                  </w:tcBorders>
                  <w:shd w:val="clear" w:color="auto" w:fill="FFC000"/>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￥0</w:t>
                  </w:r>
                </w:p>
              </w:tc>
            </w:tr>
            <w:tr>
              <w:tblPrEx>
                <w:tblLayout w:type="fixed"/>
                <w:tblCellMar>
                  <w:top w:w="0" w:type="dxa"/>
                  <w:left w:w="0" w:type="dxa"/>
                  <w:bottom w:w="0" w:type="dxa"/>
                  <w:right w:w="0" w:type="dxa"/>
                </w:tblCellMar>
              </w:tblPrEx>
              <w:trPr>
                <w:trHeight w:val="225" w:hRule="atLeast"/>
              </w:trPr>
              <w:tc>
                <w:tcPr>
                  <w:tcW w:w="2842"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ind w:firstLineChars="200"/>
                    <w:jc w:val="left"/>
                    <w:textAlignment w:val="center"/>
                    <w:rPr>
                      <w:rFonts w:hint="default" w:ascii="等线" w:hAnsi="等线" w:eastAsia="等线" w:cs="等线"/>
                      <w:i w:val="0"/>
                      <w:color w:val="000000"/>
                      <w:sz w:val="18"/>
                      <w:szCs w:val="18"/>
                      <w:u w:val="none"/>
                    </w:rPr>
                  </w:pPr>
                  <w:r>
                    <w:rPr>
                      <w:rFonts w:hint="default" w:ascii="等线" w:hAnsi="等线" w:eastAsia="等线" w:cs="等线"/>
                      <w:i w:val="0"/>
                      <w:color w:val="000000"/>
                      <w:kern w:val="0"/>
                      <w:sz w:val="18"/>
                      <w:szCs w:val="18"/>
                      <w:u w:val="none"/>
                      <w:bdr w:val="none" w:color="auto" w:sz="0" w:space="0"/>
                      <w:lang w:val="en-US" w:eastAsia="zh-CN" w:bidi="ar"/>
                    </w:rPr>
                    <w:t>ArcGIS中国培训中心培训课程</w:t>
                  </w:r>
                </w:p>
              </w:tc>
              <w:tc>
                <w:tcPr>
                  <w:tcW w:w="71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kern w:val="0"/>
                      <w:sz w:val="18"/>
                      <w:szCs w:val="18"/>
                      <w:u w:val="none"/>
                      <w:bdr w:val="none" w:color="auto" w:sz="0" w:space="0"/>
                      <w:lang w:val="en-US" w:eastAsia="zh-CN" w:bidi="ar"/>
                    </w:rPr>
                  </w:pPr>
                  <w:r>
                    <w:rPr>
                      <w:rFonts w:hint="default" w:ascii="等线" w:hAnsi="等线" w:eastAsia="等线" w:cs="等线"/>
                      <w:i w:val="0"/>
                      <w:color w:val="000000"/>
                      <w:kern w:val="0"/>
                      <w:sz w:val="18"/>
                      <w:szCs w:val="18"/>
                      <w:u w:val="none"/>
                      <w:lang w:val="en-US" w:eastAsia="zh-CN" w:bidi="ar"/>
                    </w:rPr>
                    <w:t>ArcGIS Desktop应用教程</w:t>
                  </w:r>
                </w:p>
              </w:tc>
              <w:tc>
                <w:tcPr>
                  <w:tcW w:w="14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￥0</w:t>
                  </w:r>
                </w:p>
              </w:tc>
              <w:tc>
                <w:tcPr>
                  <w:tcW w:w="97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2</w:t>
                  </w:r>
                </w:p>
              </w:tc>
              <w:tc>
                <w:tcPr>
                  <w:tcW w:w="144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￥0</w:t>
                  </w:r>
                </w:p>
              </w:tc>
            </w:tr>
            <w:tr>
              <w:tblPrEx>
                <w:tblLayout w:type="fixed"/>
                <w:tblCellMar>
                  <w:top w:w="0" w:type="dxa"/>
                  <w:left w:w="0" w:type="dxa"/>
                  <w:bottom w:w="0" w:type="dxa"/>
                  <w:right w:w="0" w:type="dxa"/>
                </w:tblCellMar>
              </w:tblPrEx>
              <w:trPr>
                <w:trHeight w:val="225" w:hRule="atLeast"/>
              </w:trPr>
              <w:tc>
                <w:tcPr>
                  <w:tcW w:w="2842"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ind w:firstLine="360" w:firstLineChars="200"/>
                    <w:jc w:val="left"/>
                    <w:textAlignment w:val="center"/>
                    <w:rPr>
                      <w:rFonts w:hint="default" w:ascii="等线" w:hAnsi="等线" w:eastAsia="等线" w:cs="等线"/>
                      <w:i w:val="0"/>
                      <w:color w:val="000000"/>
                      <w:kern w:val="0"/>
                      <w:sz w:val="18"/>
                      <w:szCs w:val="18"/>
                      <w:u w:val="none"/>
                      <w:bdr w:val="none" w:color="auto" w:sz="0" w:space="0"/>
                      <w:lang w:val="en-US" w:eastAsia="zh-CN" w:bidi="ar"/>
                    </w:rPr>
                  </w:pPr>
                  <w:r>
                    <w:rPr>
                      <w:rFonts w:hint="default" w:ascii="等线" w:hAnsi="等线" w:eastAsia="等线" w:cs="等线"/>
                      <w:i w:val="0"/>
                      <w:color w:val="000000"/>
                      <w:kern w:val="0"/>
                      <w:sz w:val="18"/>
                      <w:szCs w:val="18"/>
                      <w:u w:val="none"/>
                      <w:lang w:val="en-US" w:eastAsia="zh-CN" w:bidi="ar"/>
                    </w:rPr>
                    <w:t>ArcGIS中国培训中心培训课程</w:t>
                  </w:r>
                </w:p>
              </w:tc>
              <w:tc>
                <w:tcPr>
                  <w:tcW w:w="71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ArcGIS Pro应用教程</w:t>
                  </w:r>
                </w:p>
              </w:tc>
              <w:tc>
                <w:tcPr>
                  <w:tcW w:w="14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￥0</w:t>
                  </w:r>
                </w:p>
              </w:tc>
              <w:tc>
                <w:tcPr>
                  <w:tcW w:w="97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2</w:t>
                  </w:r>
                </w:p>
              </w:tc>
              <w:tc>
                <w:tcPr>
                  <w:tcW w:w="144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i w:val="0"/>
                      <w:color w:val="000000"/>
                      <w:kern w:val="0"/>
                      <w:sz w:val="18"/>
                      <w:szCs w:val="18"/>
                      <w:u w:val="none"/>
                      <w:lang w:val="en-US" w:eastAsia="zh-CN" w:bidi="ar"/>
                    </w:rPr>
                    <w:t>￥0</w:t>
                  </w:r>
                </w:p>
              </w:tc>
            </w:tr>
            <w:tr>
              <w:tblPrEx>
                <w:tblLayout w:type="fixed"/>
                <w:tblCellMar>
                  <w:top w:w="0" w:type="dxa"/>
                  <w:left w:w="0" w:type="dxa"/>
                  <w:bottom w:w="0" w:type="dxa"/>
                  <w:right w:w="0" w:type="dxa"/>
                </w:tblCellMar>
              </w:tblPrEx>
              <w:trPr>
                <w:trHeight w:val="225" w:hRule="atLeast"/>
              </w:trPr>
              <w:tc>
                <w:tcPr>
                  <w:tcW w:w="2842"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ind w:firstLineChars="200"/>
                    <w:jc w:val="left"/>
                    <w:textAlignment w:val="center"/>
                    <w:rPr>
                      <w:rFonts w:hint="default" w:ascii="等线" w:hAnsi="等线" w:eastAsia="等线" w:cs="等线"/>
                      <w:i w:val="0"/>
                      <w:color w:val="000000"/>
                      <w:kern w:val="0"/>
                      <w:sz w:val="18"/>
                      <w:szCs w:val="18"/>
                      <w:u w:val="none"/>
                      <w:bdr w:val="none" w:color="auto" w:sz="0" w:space="0"/>
                      <w:lang w:val="en-US" w:eastAsia="zh-CN" w:bidi="ar"/>
                    </w:rPr>
                  </w:pPr>
                </w:p>
              </w:tc>
              <w:tc>
                <w:tcPr>
                  <w:tcW w:w="71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2445" w:type="dxa"/>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righ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b/>
                      <w:i w:val="0"/>
                      <w:color w:val="000000"/>
                      <w:kern w:val="0"/>
                      <w:sz w:val="18"/>
                      <w:szCs w:val="18"/>
                      <w:u w:val="none"/>
                      <w:lang w:val="en-US" w:eastAsia="zh-CN" w:bidi="ar"/>
                    </w:rPr>
                    <w:t>合计</w:t>
                  </w:r>
                </w:p>
              </w:tc>
              <w:tc>
                <w:tcPr>
                  <w:tcW w:w="144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righ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b/>
                      <w:i w:val="0"/>
                      <w:color w:val="000000"/>
                      <w:kern w:val="0"/>
                      <w:sz w:val="18"/>
                      <w:szCs w:val="18"/>
                      <w:u w:val="none"/>
                      <w:lang w:val="en-US" w:eastAsia="zh-CN" w:bidi="ar"/>
                    </w:rPr>
                    <w:t xml:space="preserve"> ¥233,800.00 </w:t>
                  </w:r>
                </w:p>
              </w:tc>
            </w:tr>
            <w:tr>
              <w:tblPrEx>
                <w:tblLayout w:type="fixed"/>
                <w:tblCellMar>
                  <w:top w:w="0" w:type="dxa"/>
                  <w:left w:w="0" w:type="dxa"/>
                  <w:bottom w:w="0" w:type="dxa"/>
                  <w:right w:w="0" w:type="dxa"/>
                </w:tblCellMar>
              </w:tblPrEx>
              <w:trPr>
                <w:trHeight w:val="225" w:hRule="atLeast"/>
              </w:trPr>
              <w:tc>
                <w:tcPr>
                  <w:tcW w:w="2842"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ind w:firstLineChars="200"/>
                    <w:jc w:val="left"/>
                    <w:textAlignment w:val="center"/>
                    <w:rPr>
                      <w:rFonts w:hint="default" w:ascii="等线" w:hAnsi="等线" w:eastAsia="等线" w:cs="等线"/>
                      <w:i w:val="0"/>
                      <w:color w:val="000000"/>
                      <w:kern w:val="0"/>
                      <w:sz w:val="18"/>
                      <w:szCs w:val="18"/>
                      <w:u w:val="none"/>
                      <w:bdr w:val="none" w:color="auto" w:sz="0" w:space="0"/>
                      <w:lang w:val="en-US" w:eastAsia="zh-CN" w:bidi="ar"/>
                    </w:rPr>
                  </w:pPr>
                </w:p>
              </w:tc>
              <w:tc>
                <w:tcPr>
                  <w:tcW w:w="71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2445" w:type="dxa"/>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righ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b/>
                      <w:i w:val="0"/>
                      <w:color w:val="000000"/>
                      <w:kern w:val="0"/>
                      <w:sz w:val="18"/>
                      <w:szCs w:val="18"/>
                      <w:u w:val="none"/>
                      <w:lang w:val="en-US" w:eastAsia="zh-CN" w:bidi="ar"/>
                    </w:rPr>
                    <w:t>现场安装服务</w:t>
                  </w:r>
                </w:p>
              </w:tc>
              <w:tc>
                <w:tcPr>
                  <w:tcW w:w="144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righ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b/>
                      <w:i w:val="0"/>
                      <w:color w:val="000000"/>
                      <w:kern w:val="0"/>
                      <w:sz w:val="18"/>
                      <w:szCs w:val="18"/>
                      <w:u w:val="none"/>
                      <w:lang w:val="en-US" w:eastAsia="zh-CN" w:bidi="ar"/>
                    </w:rPr>
                    <w:t xml:space="preserve"> ¥10,000.00 </w:t>
                  </w:r>
                </w:p>
              </w:tc>
            </w:tr>
            <w:tr>
              <w:tblPrEx>
                <w:tblLayout w:type="fixed"/>
                <w:tblCellMar>
                  <w:top w:w="0" w:type="dxa"/>
                  <w:left w:w="0" w:type="dxa"/>
                  <w:bottom w:w="0" w:type="dxa"/>
                  <w:right w:w="0" w:type="dxa"/>
                </w:tblCellMar>
              </w:tblPrEx>
              <w:trPr>
                <w:trHeight w:val="225" w:hRule="atLeast"/>
              </w:trPr>
              <w:tc>
                <w:tcPr>
                  <w:tcW w:w="2842"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ind w:firstLine="360" w:firstLineChars="200"/>
                    <w:jc w:val="left"/>
                    <w:textAlignment w:val="center"/>
                    <w:rPr>
                      <w:rFonts w:hint="default" w:ascii="等线" w:hAnsi="等线" w:eastAsia="等线" w:cs="等线"/>
                      <w:i w:val="0"/>
                      <w:color w:val="000000"/>
                      <w:kern w:val="0"/>
                      <w:sz w:val="18"/>
                      <w:szCs w:val="18"/>
                      <w:u w:val="none"/>
                      <w:bdr w:val="none" w:color="auto" w:sz="0" w:space="0"/>
                      <w:lang w:val="en-US" w:eastAsia="zh-CN" w:bidi="ar"/>
                    </w:rPr>
                  </w:pPr>
                </w:p>
              </w:tc>
              <w:tc>
                <w:tcPr>
                  <w:tcW w:w="71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kern w:val="0"/>
                      <w:sz w:val="18"/>
                      <w:szCs w:val="18"/>
                      <w:u w:val="none"/>
                      <w:lang w:val="en-US" w:eastAsia="zh-CN" w:bidi="ar"/>
                    </w:rPr>
                  </w:pPr>
                </w:p>
              </w:tc>
              <w:tc>
                <w:tcPr>
                  <w:tcW w:w="2445" w:type="dxa"/>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righ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b/>
                      <w:i w:val="0"/>
                      <w:color w:val="000000"/>
                      <w:kern w:val="0"/>
                      <w:sz w:val="18"/>
                      <w:szCs w:val="18"/>
                      <w:u w:val="none"/>
                      <w:lang w:val="en-US" w:eastAsia="zh-CN" w:bidi="ar"/>
                    </w:rPr>
                    <w:t>运输保险费</w:t>
                  </w:r>
                </w:p>
              </w:tc>
              <w:tc>
                <w:tcPr>
                  <w:tcW w:w="144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righ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b/>
                      <w:i w:val="0"/>
                      <w:color w:val="000000"/>
                      <w:kern w:val="0"/>
                      <w:sz w:val="18"/>
                      <w:szCs w:val="18"/>
                      <w:u w:val="none"/>
                      <w:lang w:val="en-US" w:eastAsia="zh-CN" w:bidi="ar"/>
                    </w:rPr>
                    <w:t xml:space="preserve"> ¥2,500.00 </w:t>
                  </w:r>
                </w:p>
              </w:tc>
            </w:tr>
            <w:tr>
              <w:tblPrEx>
                <w:tblLayout w:type="fixed"/>
                <w:tblCellMar>
                  <w:top w:w="0" w:type="dxa"/>
                  <w:left w:w="0" w:type="dxa"/>
                  <w:bottom w:w="0" w:type="dxa"/>
                  <w:right w:w="0" w:type="dxa"/>
                </w:tblCellMar>
              </w:tblPrEx>
              <w:trPr>
                <w:trHeight w:val="342" w:hRule="atLeast"/>
              </w:trPr>
              <w:tc>
                <w:tcPr>
                  <w:tcW w:w="2842"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ind w:firstLineChars="200"/>
                    <w:jc w:val="left"/>
                    <w:textAlignment w:val="center"/>
                    <w:rPr>
                      <w:rFonts w:hint="default" w:ascii="等线" w:hAnsi="等线" w:eastAsia="等线" w:cs="等线"/>
                      <w:i w:val="0"/>
                      <w:color w:val="000000"/>
                      <w:sz w:val="18"/>
                      <w:szCs w:val="18"/>
                      <w:u w:val="none"/>
                    </w:rPr>
                  </w:pPr>
                  <w:r>
                    <w:rPr>
                      <w:rFonts w:hint="eastAsia" w:ascii="等线" w:hAnsi="等线" w:eastAsia="等线" w:cs="等线"/>
                      <w:i w:val="0"/>
                      <w:color w:val="000000"/>
                      <w:kern w:val="0"/>
                      <w:sz w:val="18"/>
                      <w:szCs w:val="18"/>
                      <w:u w:val="none"/>
                      <w:bdr w:val="none" w:color="auto" w:sz="0" w:space="0"/>
                      <w:lang w:val="en-US" w:eastAsia="zh-CN" w:bidi="ar"/>
                    </w:rPr>
                    <w:t xml:space="preserve"> </w:t>
                  </w:r>
                </w:p>
              </w:tc>
              <w:tc>
                <w:tcPr>
                  <w:tcW w:w="717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left"/>
                    <w:textAlignment w:val="center"/>
                    <w:rPr>
                      <w:rFonts w:hint="default" w:ascii="等线" w:hAnsi="等线" w:eastAsia="等线" w:cs="等线"/>
                      <w:i w:val="0"/>
                      <w:color w:val="000000"/>
                      <w:kern w:val="0"/>
                      <w:sz w:val="18"/>
                      <w:szCs w:val="18"/>
                      <w:u w:val="none"/>
                      <w:bdr w:val="none" w:color="auto" w:sz="0" w:space="0"/>
                      <w:lang w:val="en-US" w:eastAsia="zh-CN" w:bidi="ar"/>
                    </w:rPr>
                  </w:pPr>
                  <w:r>
                    <w:rPr>
                      <w:rFonts w:hint="eastAsia" w:ascii="等线" w:hAnsi="等线" w:eastAsia="等线" w:cs="等线"/>
                      <w:i w:val="0"/>
                      <w:color w:val="000000"/>
                      <w:kern w:val="0"/>
                      <w:sz w:val="18"/>
                      <w:szCs w:val="18"/>
                      <w:u w:val="none"/>
                      <w:lang w:val="en-US" w:eastAsia="zh-CN" w:bidi="ar"/>
                    </w:rPr>
                    <w:t xml:space="preserve"> </w:t>
                  </w:r>
                </w:p>
              </w:tc>
              <w:tc>
                <w:tcPr>
                  <w:tcW w:w="2445" w:type="dxa"/>
                  <w:gridSpan w:val="2"/>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righ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b/>
                      <w:i w:val="0"/>
                      <w:color w:val="000000"/>
                      <w:kern w:val="0"/>
                      <w:sz w:val="18"/>
                      <w:szCs w:val="18"/>
                      <w:u w:val="none"/>
                      <w:lang w:val="en-US" w:eastAsia="zh-CN" w:bidi="ar"/>
                    </w:rPr>
                    <w:t>总计</w:t>
                  </w:r>
                </w:p>
              </w:tc>
              <w:tc>
                <w:tcPr>
                  <w:tcW w:w="1440"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right"/>
                    <w:textAlignment w:val="center"/>
                    <w:rPr>
                      <w:rFonts w:hint="default" w:ascii="等线" w:hAnsi="等线" w:eastAsia="等线" w:cs="等线"/>
                      <w:i w:val="0"/>
                      <w:color w:val="000000"/>
                      <w:kern w:val="0"/>
                      <w:sz w:val="18"/>
                      <w:szCs w:val="18"/>
                      <w:u w:val="none"/>
                      <w:lang w:val="en-US" w:eastAsia="zh-CN" w:bidi="ar"/>
                    </w:rPr>
                  </w:pPr>
                  <w:r>
                    <w:rPr>
                      <w:rFonts w:hint="default" w:ascii="等线" w:hAnsi="等线" w:eastAsia="等线" w:cs="等线"/>
                      <w:b/>
                      <w:i w:val="0"/>
                      <w:color w:val="000000"/>
                      <w:kern w:val="0"/>
                      <w:sz w:val="18"/>
                      <w:szCs w:val="18"/>
                      <w:u w:val="none"/>
                      <w:lang w:val="en-US" w:eastAsia="zh-CN" w:bidi="ar"/>
                    </w:rPr>
                    <w:t xml:space="preserve"> ¥246,300.00 </w:t>
                  </w:r>
                </w:p>
              </w:tc>
            </w:tr>
          </w:tbl>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注：因篇幅有限，如主要配置、技术参数及商务条款不能准确反映需求，请以附件形式说明申购货物的具体配置、技术参数及商务条款。</w:t>
            </w:r>
          </w:p>
        </w:tc>
      </w:tr>
    </w:tbl>
    <w:p>
      <w:pPr>
        <w:rPr>
          <w:rFonts w:hint="eastAsia"/>
          <w:szCs w:val="24"/>
        </w:rPr>
      </w:pPr>
    </w:p>
    <w:p>
      <w:pPr>
        <w:rPr>
          <w:rFonts w:hint="eastAsia"/>
          <w:szCs w:val="24"/>
        </w:rPr>
      </w:pPr>
    </w:p>
    <w:p>
      <w:pPr>
        <w:rPr>
          <w:rFonts w:hint="eastAsia"/>
          <w:szCs w:val="24"/>
        </w:rPr>
      </w:pPr>
    </w:p>
    <w:p>
      <w:pPr>
        <w:rPr>
          <w:rFonts w:hint="eastAsia"/>
          <w:szCs w:val="24"/>
        </w:rPr>
      </w:pPr>
    </w:p>
    <w:p>
      <w:pPr>
        <w:rPr>
          <w:rFonts w:hint="eastAsia"/>
          <w:szCs w:val="24"/>
        </w:rPr>
        <w:sectPr>
          <w:pgSz w:w="16838" w:h="11906" w:orient="landscape"/>
          <w:pgMar w:top="1800" w:right="1440" w:bottom="1800" w:left="1440" w:header="851" w:footer="992" w:gutter="0"/>
          <w:paperSrc/>
          <w:cols w:space="0" w:num="1"/>
          <w:rtlGutter w:val="0"/>
          <w:docGrid w:type="lines" w:linePitch="312" w:charSpace="0"/>
        </w:sectPr>
      </w:pPr>
    </w:p>
    <w:p>
      <w:pPr>
        <w:pStyle w:val="2"/>
        <w:jc w:val="both"/>
        <w:rPr>
          <w:rFonts w:hint="eastAsia" w:eastAsia="宋体"/>
          <w:szCs w:val="24"/>
          <w:lang w:eastAsia="zh-CN"/>
        </w:rPr>
      </w:pPr>
      <w:r>
        <w:rPr>
          <w:rFonts w:hint="eastAsia" w:eastAsia="宋体"/>
          <w:szCs w:val="24"/>
          <w:lang w:eastAsia="zh-CN"/>
        </w:rPr>
        <w:t>附件：</w:t>
      </w:r>
    </w:p>
    <w:p>
      <w:pPr>
        <w:pStyle w:val="2"/>
        <w:jc w:val="center"/>
        <w:rPr>
          <w:rFonts w:hint="eastAsia"/>
          <w:szCs w:val="24"/>
        </w:rPr>
      </w:pPr>
      <w:r>
        <w:rPr>
          <w:rFonts w:hint="eastAsia"/>
          <w:szCs w:val="24"/>
        </w:rPr>
        <w:t>地理信息系统软件参数</w:t>
      </w:r>
    </w:p>
    <w:p>
      <w:r>
        <w:rPr>
          <w:rFonts w:hint="eastAsia"/>
        </w:rPr>
        <w:t>总计：246300.00元</w:t>
      </w:r>
    </w:p>
    <w:p>
      <w:pPr>
        <w:pStyle w:val="2"/>
        <w:rPr>
          <w:szCs w:val="24"/>
        </w:rPr>
      </w:pPr>
      <w:r>
        <w:rPr>
          <w:rFonts w:hint="eastAsia"/>
          <w:szCs w:val="24"/>
        </w:rPr>
        <w:t>地理信息系统高级版桌面软件：5万</w:t>
      </w:r>
    </w:p>
    <w:p>
      <w:pPr>
        <w:pStyle w:val="15"/>
        <w:numPr>
          <w:ilvl w:val="0"/>
          <w:numId w:val="1"/>
        </w:numPr>
        <w:ind w:firstLineChars="0"/>
        <w:rPr>
          <w:rFonts w:ascii="微软雅黑" w:hAnsi="微软雅黑" w:eastAsia="微软雅黑"/>
          <w:szCs w:val="20"/>
        </w:rPr>
      </w:pPr>
      <w:r>
        <w:rPr>
          <w:rFonts w:ascii="微软雅黑" w:hAnsi="微软雅黑" w:eastAsia="微软雅黑"/>
          <w:szCs w:val="20"/>
        </w:rPr>
        <w:t>GIS桌面平台软件需要支持地图输出为EPS、SVG、BMP矢量图像格式；支持具有地理坐标参考的PDF地图格式输出，并且可以脱离GIS桌面软件，在免费的PDF软件中进行每个图层的打开和关闭操作，能够获取具体的点坐标、测量线段和面积（需提供在桌面软件导出pdf地图文件的设置界面</w:t>
      </w:r>
      <w:r>
        <w:rPr>
          <w:rFonts w:hint="eastAsia" w:ascii="微软雅黑" w:hAnsi="微软雅黑" w:eastAsia="微软雅黑"/>
          <w:szCs w:val="20"/>
        </w:rPr>
        <w:t>截图</w:t>
      </w:r>
      <w:r>
        <w:rPr>
          <w:rFonts w:ascii="微软雅黑" w:hAnsi="微软雅黑" w:eastAsia="微软雅黑"/>
          <w:szCs w:val="20"/>
        </w:rPr>
        <w:t>、利用免费的pdf软件打开导出的地图</w:t>
      </w:r>
      <w:r>
        <w:rPr>
          <w:rFonts w:hint="eastAsia" w:ascii="微软雅黑" w:hAnsi="微软雅黑" w:eastAsia="微软雅黑"/>
          <w:szCs w:val="20"/>
        </w:rPr>
        <w:t>的截图</w:t>
      </w:r>
      <w:r>
        <w:rPr>
          <w:rFonts w:ascii="微软雅黑" w:hAnsi="微软雅黑" w:eastAsia="微软雅黑"/>
          <w:szCs w:val="20"/>
        </w:rPr>
        <w:t>，进行图层控制、测量长度和面积的截图，桌面软件展示的</w:t>
      </w:r>
      <w:r>
        <w:rPr>
          <w:rFonts w:hint="eastAsia" w:ascii="微软雅黑" w:hAnsi="微软雅黑" w:eastAsia="微软雅黑"/>
          <w:szCs w:val="20"/>
        </w:rPr>
        <w:t>地图</w:t>
      </w:r>
      <w:r>
        <w:rPr>
          <w:rFonts w:ascii="微软雅黑" w:hAnsi="微软雅黑" w:eastAsia="微软雅黑"/>
          <w:szCs w:val="20"/>
        </w:rPr>
        <w:t>与pdf文件的</w:t>
      </w:r>
      <w:r>
        <w:rPr>
          <w:rFonts w:hint="eastAsia" w:ascii="微软雅黑" w:hAnsi="微软雅黑" w:eastAsia="微软雅黑"/>
          <w:szCs w:val="20"/>
        </w:rPr>
        <w:t>地图</w:t>
      </w:r>
      <w:r>
        <w:rPr>
          <w:rFonts w:ascii="微软雅黑" w:hAnsi="微软雅黑" w:eastAsia="微软雅黑"/>
          <w:szCs w:val="20"/>
        </w:rPr>
        <w:t>内容相同的截图）；</w:t>
      </w:r>
    </w:p>
    <w:p>
      <w:pPr>
        <w:pStyle w:val="15"/>
        <w:numPr>
          <w:ilvl w:val="0"/>
          <w:numId w:val="1"/>
        </w:numPr>
        <w:ind w:firstLineChars="0"/>
        <w:rPr>
          <w:rFonts w:ascii="微软雅黑" w:hAnsi="微软雅黑" w:eastAsia="微软雅黑"/>
          <w:szCs w:val="20"/>
        </w:rPr>
      </w:pPr>
      <w:r>
        <w:rPr>
          <w:rFonts w:hint="eastAsia" w:ascii="微软雅黑" w:hAnsi="微软雅黑" w:eastAsia="微软雅黑"/>
          <w:sz w:val="22"/>
        </w:rPr>
        <w:t>▲</w:t>
      </w:r>
      <w:r>
        <w:rPr>
          <w:rFonts w:hint="eastAsia" w:ascii="微软雅黑" w:hAnsi="微软雅黑" w:eastAsia="微软雅黑"/>
          <w:szCs w:val="20"/>
        </w:rPr>
        <w:t>提供动态图例的功能，地图图例根据当前显示的地图图面要素的内容自动调整，图面要素增加，地图图例对应增加，图面要素减少时自动过滤没显示的要素的图例符号，使地图没有多余的图例（需要提供地图全图时地图内容和图例的截图、地图范围改变后的地图内容和图例的截图）；</w:t>
      </w:r>
      <w:r>
        <w:rPr>
          <w:rFonts w:ascii="微软雅黑" w:hAnsi="微软雅黑" w:eastAsia="微软雅黑"/>
          <w:szCs w:val="20"/>
        </w:rPr>
        <w:t xml:space="preserve"> </w:t>
      </w:r>
    </w:p>
    <w:p>
      <w:pPr>
        <w:pStyle w:val="15"/>
        <w:numPr>
          <w:ilvl w:val="0"/>
          <w:numId w:val="1"/>
        </w:numPr>
        <w:ind w:firstLineChars="0"/>
        <w:rPr>
          <w:rFonts w:ascii="微软雅黑" w:hAnsi="微软雅黑" w:eastAsia="微软雅黑"/>
          <w:szCs w:val="20"/>
        </w:rPr>
      </w:pPr>
      <w:r>
        <w:rPr>
          <w:rFonts w:hint="eastAsia" w:ascii="微软雅黑" w:hAnsi="微软雅黑" w:eastAsia="微软雅黑"/>
          <w:sz w:val="22"/>
        </w:rPr>
        <w:t>▲</w:t>
      </w:r>
      <w:r>
        <w:rPr>
          <w:rFonts w:hint="eastAsia" w:ascii="微软雅黑" w:hAnsi="微软雅黑" w:eastAsia="微软雅黑"/>
          <w:szCs w:val="20"/>
        </w:rPr>
        <w:t>提供对地理数据库、主流空间数据格式直接支持能力，无需任何转换均能直接加载、直接打开并无损直接调用，打开后可直接进行数据浏览、数据加载、数据编辑等，其中可直接展开查看和读取地理数据库数据格式中的关联关系、属性域、子类型、几何网络、模型工具，并且这些信息均能无损保存，能够直接将地理数据库的这些数据模式通过拖拽方式快速加载到地图面板中，数据修改后能够无损的保存为原来的地理数据库格式（需截图加载空间数据文件如：shapfile或者geodatabase，直接编辑并保存geodatabase的截图；截图直接加载地理数据库里面的图形数据的截图；读取关联关系、属性域、子类型、几何网络等数据结构的截图，打开地理数据库里面的模型工具的截图）；</w:t>
      </w:r>
      <w:r>
        <w:rPr>
          <w:rFonts w:ascii="微软雅黑" w:hAnsi="微软雅黑" w:eastAsia="微软雅黑"/>
          <w:szCs w:val="20"/>
        </w:rPr>
        <w:t xml:space="preserve"> </w:t>
      </w:r>
    </w:p>
    <w:p>
      <w:pPr>
        <w:pStyle w:val="15"/>
        <w:numPr>
          <w:ilvl w:val="0"/>
          <w:numId w:val="1"/>
        </w:numPr>
        <w:ind w:firstLineChars="0"/>
        <w:rPr>
          <w:rFonts w:ascii="微软雅黑" w:hAnsi="微软雅黑" w:eastAsia="微软雅黑"/>
          <w:szCs w:val="20"/>
        </w:rPr>
      </w:pPr>
      <w:r>
        <w:rPr>
          <w:rFonts w:hint="eastAsia" w:ascii="微软雅黑" w:hAnsi="微软雅黑" w:eastAsia="微软雅黑"/>
          <w:sz w:val="22"/>
        </w:rPr>
        <w:t>▲</w:t>
      </w:r>
      <w:r>
        <w:rPr>
          <w:rFonts w:hint="eastAsia" w:ascii="微软雅黑" w:hAnsi="微软雅黑" w:eastAsia="微软雅黑"/>
          <w:szCs w:val="20"/>
        </w:rPr>
        <w:t>提供地理分析建模框架，提供可视化模型构建器可将地理工具箱任意工具拖拽到可视化界面中，按照处理流程用箭头串联起来，以创建更为复杂的处理模型（需要提供可视化建模界面截图</w:t>
      </w:r>
      <w:r>
        <w:rPr>
          <w:rFonts w:ascii="微软雅黑" w:hAnsi="微软雅黑" w:eastAsia="微软雅黑"/>
          <w:szCs w:val="20"/>
        </w:rPr>
        <w:t>）；生成的新模型可以设置模型参数、前提条件，在调用时可灵活设置参数（提供</w:t>
      </w:r>
      <w:r>
        <w:rPr>
          <w:rFonts w:hint="eastAsia" w:ascii="微软雅黑" w:hAnsi="微软雅黑" w:eastAsia="微软雅黑"/>
          <w:szCs w:val="20"/>
        </w:rPr>
        <w:t>设置</w:t>
      </w:r>
      <w:r>
        <w:rPr>
          <w:rFonts w:ascii="微软雅黑" w:hAnsi="微软雅黑" w:eastAsia="微软雅黑"/>
          <w:szCs w:val="20"/>
        </w:rPr>
        <w:t>模型参数、前提条件</w:t>
      </w:r>
      <w:r>
        <w:rPr>
          <w:rFonts w:hint="eastAsia" w:ascii="微软雅黑" w:hAnsi="微软雅黑" w:eastAsia="微软雅黑"/>
          <w:szCs w:val="20"/>
        </w:rPr>
        <w:t>的界面</w:t>
      </w:r>
      <w:r>
        <w:rPr>
          <w:rFonts w:ascii="微软雅黑" w:hAnsi="微软雅黑" w:eastAsia="微软雅黑"/>
          <w:szCs w:val="20"/>
        </w:rPr>
        <w:t>截图）；自定义模型也可以作为工具在新的模型中进行加载；</w:t>
      </w:r>
      <w:r>
        <w:rPr>
          <w:rFonts w:hint="eastAsia" w:ascii="微软雅黑" w:hAnsi="微软雅黑" w:eastAsia="微软雅黑"/>
          <w:szCs w:val="20"/>
        </w:rPr>
        <w:t>支持在之前桌面软件版本基础上建立好的现用模型直接加载运行（运行加载现有模型界面截图）；</w:t>
      </w:r>
    </w:p>
    <w:p>
      <w:pPr>
        <w:pStyle w:val="15"/>
        <w:numPr>
          <w:ilvl w:val="0"/>
          <w:numId w:val="1"/>
        </w:numPr>
        <w:ind w:firstLineChars="0"/>
        <w:rPr>
          <w:rFonts w:ascii="微软雅黑" w:hAnsi="微软雅黑" w:eastAsia="微软雅黑"/>
          <w:szCs w:val="20"/>
        </w:rPr>
      </w:pPr>
      <w:r>
        <w:rPr>
          <w:rFonts w:hint="eastAsia" w:ascii="微软雅黑" w:hAnsi="微软雅黑" w:eastAsia="微软雅黑"/>
          <w:szCs w:val="20"/>
        </w:rPr>
        <w:t>支持地图册自动生成功能，在设定统一的图框和图幅要素后，根据行政区或者地图分幅文件，自动生成地图册，每幅地图的标题按照行政区名或分幅编号自动生成（需要提供按照分幅图层进行自动地图册生成设置界面的截图，图幅号自动生成结果的截图）；</w:t>
      </w:r>
    </w:p>
    <w:p>
      <w:pPr>
        <w:pStyle w:val="15"/>
        <w:numPr>
          <w:ilvl w:val="0"/>
          <w:numId w:val="1"/>
        </w:numPr>
        <w:ind w:firstLineChars="0"/>
        <w:rPr>
          <w:rFonts w:ascii="微软雅黑" w:hAnsi="微软雅黑" w:eastAsia="微软雅黑"/>
          <w:szCs w:val="20"/>
        </w:rPr>
      </w:pPr>
      <w:r>
        <w:rPr>
          <w:rFonts w:hint="eastAsia" w:ascii="微软雅黑" w:hAnsi="微软雅黑" w:eastAsia="微软雅黑"/>
          <w:sz w:val="22"/>
        </w:rPr>
        <w:t>▲</w:t>
      </w:r>
      <w:r>
        <w:rPr>
          <w:rFonts w:hint="eastAsia" w:ascii="微软雅黑" w:hAnsi="微软雅黑" w:eastAsia="微软雅黑"/>
          <w:szCs w:val="20"/>
        </w:rPr>
        <w:t>提供遥感影像的基础处理工具，包括：对比度、亮度、</w:t>
      </w:r>
      <w:r>
        <w:rPr>
          <w:rFonts w:ascii="微软雅黑" w:hAnsi="微软雅黑" w:eastAsia="微软雅黑"/>
          <w:szCs w:val="20"/>
        </w:rPr>
        <w:t>DRA、拉伸、gamma 、透明度以及比较两个重叠数据图层的“卷帘”（影像处理工具，包括：对比度、亮度、DRA、拉伸、gamma 、透明度以及比较两个重叠数据图层的“卷帘”</w:t>
      </w:r>
      <w:r>
        <w:rPr>
          <w:rFonts w:hint="eastAsia" w:ascii="微软雅黑" w:hAnsi="微软雅黑" w:eastAsia="微软雅黑"/>
          <w:szCs w:val="20"/>
        </w:rPr>
        <w:t>工具</w:t>
      </w:r>
      <w:r>
        <w:rPr>
          <w:rFonts w:ascii="微软雅黑" w:hAnsi="微软雅黑" w:eastAsia="微软雅黑"/>
          <w:szCs w:val="20"/>
        </w:rPr>
        <w:t>截图）；支持动态影像函数如波段组合、坡度、坡向、晕渲地貌、灰度转换、全色锐化裁切、NDVI等20种以上的动态影像处理函数，支持对影像添加动态处理函数链，不产生新的影像数据情况下快速生成新的影像，减少数据冗余和磁盘存储（需要提供坡度、坡向和晕渲地貌等动态影像函</w:t>
      </w:r>
      <w:r>
        <w:rPr>
          <w:rFonts w:hint="eastAsia" w:ascii="微软雅黑" w:hAnsi="微软雅黑" w:eastAsia="微软雅黑"/>
          <w:szCs w:val="20"/>
        </w:rPr>
        <w:t>数的截图，提供应用动态影像函数对地形数据快速生成坡度、坡向、晕渲地貌结果影像的截图）；</w:t>
      </w:r>
    </w:p>
    <w:p>
      <w:pPr>
        <w:pStyle w:val="15"/>
        <w:numPr>
          <w:ilvl w:val="0"/>
          <w:numId w:val="1"/>
        </w:numPr>
        <w:ind w:firstLineChars="0"/>
        <w:rPr>
          <w:rFonts w:ascii="微软雅黑" w:hAnsi="微软雅黑" w:eastAsia="微软雅黑"/>
          <w:szCs w:val="20"/>
        </w:rPr>
      </w:pPr>
      <w:r>
        <w:rPr>
          <w:rFonts w:hint="eastAsia" w:ascii="微软雅黑" w:hAnsi="微软雅黑" w:eastAsia="微软雅黑"/>
          <w:szCs w:val="20"/>
        </w:rPr>
        <w:t>支持在地图中插入图片、</w:t>
      </w:r>
      <w:r>
        <w:rPr>
          <w:rFonts w:ascii="微软雅黑" w:hAnsi="微软雅黑" w:eastAsia="微软雅黑"/>
          <w:szCs w:val="20"/>
        </w:rPr>
        <w:t>Excel、Word、PowerPoint和系统对象，Excel、PowerPoint源文件更改后可以直接反映在地图图幅，不需要重新插入地图和调整显示内容；支持插入动态文本，动态文本包括地图标题、时间、日期、作者、坐标系等地图说明（需要</w:t>
      </w:r>
      <w:r>
        <w:rPr>
          <w:rFonts w:hint="eastAsia" w:ascii="微软雅黑" w:hAnsi="微软雅黑" w:eastAsia="微软雅黑"/>
          <w:szCs w:val="20"/>
        </w:rPr>
        <w:t>提供</w:t>
      </w:r>
      <w:r>
        <w:rPr>
          <w:rFonts w:ascii="微软雅黑" w:hAnsi="微软雅黑" w:eastAsia="微软雅黑"/>
          <w:szCs w:val="20"/>
        </w:rPr>
        <w:t>插入的excel源文件文件、插入后的地图效果、地图标题上增加地图制作时间的动态日期的</w:t>
      </w:r>
      <w:r>
        <w:rPr>
          <w:rFonts w:hint="eastAsia" w:ascii="微软雅黑" w:hAnsi="微软雅黑" w:eastAsia="微软雅黑"/>
          <w:szCs w:val="20"/>
        </w:rPr>
        <w:t>截图</w:t>
      </w:r>
      <w:r>
        <w:rPr>
          <w:rFonts w:ascii="微软雅黑" w:hAnsi="微软雅黑" w:eastAsia="微软雅黑"/>
          <w:szCs w:val="20"/>
        </w:rPr>
        <w:t>）；</w:t>
      </w:r>
    </w:p>
    <w:p>
      <w:pPr>
        <w:pStyle w:val="15"/>
        <w:numPr>
          <w:ilvl w:val="0"/>
          <w:numId w:val="1"/>
        </w:numPr>
        <w:ind w:firstLineChars="0"/>
        <w:rPr>
          <w:rFonts w:ascii="微软雅黑" w:hAnsi="微软雅黑" w:eastAsia="微软雅黑"/>
          <w:szCs w:val="20"/>
        </w:rPr>
      </w:pPr>
      <w:r>
        <w:rPr>
          <w:rFonts w:hint="eastAsia" w:ascii="微软雅黑" w:hAnsi="微软雅黑" w:eastAsia="微软雅黑"/>
          <w:szCs w:val="20"/>
        </w:rPr>
        <w:t>支持对管理的海量影像的实时动态镶嵌，实现对海量影像进行快速镶嵌和拼接（提供影像快速镶嵌和入库设置的截图）；对镶嵌结果进行羽化处理、轮廓构建、匀光处理；提供多种色彩平衡方法，实现多种传感器不同色调的栅格数据进行色彩平衡，可以指定某幅影像作为基准，其他的影像的色彩参照基准影像进行色彩校正，减少不同影像的色差（提供影像动态镶嵌、色彩校正功能截图）；</w:t>
      </w:r>
    </w:p>
    <w:p>
      <w:pPr>
        <w:pStyle w:val="15"/>
        <w:numPr>
          <w:ilvl w:val="0"/>
          <w:numId w:val="1"/>
        </w:numPr>
        <w:ind w:firstLineChars="0"/>
        <w:rPr>
          <w:rFonts w:ascii="微软雅黑" w:hAnsi="微软雅黑" w:eastAsia="微软雅黑"/>
          <w:szCs w:val="20"/>
        </w:rPr>
      </w:pPr>
      <w:r>
        <w:rPr>
          <w:rFonts w:hint="eastAsia" w:ascii="微软雅黑" w:hAnsi="微软雅黑" w:eastAsia="微软雅黑"/>
          <w:szCs w:val="20"/>
        </w:rPr>
        <w:t>导入</w:t>
      </w:r>
      <w:r>
        <w:rPr>
          <w:rFonts w:ascii="微软雅黑" w:hAnsi="微软雅黑" w:eastAsia="微软雅黑"/>
          <w:szCs w:val="20"/>
        </w:rPr>
        <w:t>csv、excel格式的数据，并且按照其中记录的空间信息进行显示，导入过程中可以选择适当的坐标系，（需要截取导入的csv数据文件内容、导入</w:t>
      </w:r>
      <w:r>
        <w:rPr>
          <w:rFonts w:hint="eastAsia" w:ascii="微软雅黑" w:hAnsi="微软雅黑" w:eastAsia="微软雅黑"/>
          <w:szCs w:val="20"/>
        </w:rPr>
        <w:t>设置</w:t>
      </w:r>
      <w:r>
        <w:rPr>
          <w:rFonts w:ascii="微软雅黑" w:hAnsi="微软雅黑" w:eastAsia="微软雅黑"/>
          <w:szCs w:val="20"/>
        </w:rPr>
        <w:t>、导入成功后的地图展示截图）支持将这些数据格式转换为常见的空间数据文件和地理数据库数据格式（需要截取将csv数据</w:t>
      </w:r>
      <w:r>
        <w:rPr>
          <w:rFonts w:hint="eastAsia" w:ascii="微软雅黑" w:hAnsi="微软雅黑" w:eastAsia="微软雅黑"/>
          <w:szCs w:val="20"/>
        </w:rPr>
        <w:t>导出</w:t>
      </w:r>
      <w:r>
        <w:rPr>
          <w:rFonts w:ascii="微软雅黑" w:hAnsi="微软雅黑" w:eastAsia="微软雅黑"/>
          <w:szCs w:val="20"/>
        </w:rPr>
        <w:t>为</w:t>
      </w:r>
      <w:r>
        <w:rPr>
          <w:rFonts w:hint="eastAsia" w:ascii="微软雅黑" w:hAnsi="微软雅黑" w:eastAsia="微软雅黑"/>
          <w:szCs w:val="20"/>
        </w:rPr>
        <w:t>shapfile</w:t>
      </w:r>
      <w:r>
        <w:rPr>
          <w:rFonts w:ascii="微软雅黑" w:hAnsi="微软雅黑" w:eastAsia="微软雅黑"/>
          <w:szCs w:val="20"/>
        </w:rPr>
        <w:t>和</w:t>
      </w:r>
      <w:r>
        <w:rPr>
          <w:rFonts w:hint="eastAsia" w:ascii="微软雅黑" w:hAnsi="微软雅黑" w:eastAsia="微软雅黑"/>
          <w:szCs w:val="20"/>
        </w:rPr>
        <w:t>geodatabse</w:t>
      </w:r>
      <w:r>
        <w:rPr>
          <w:rFonts w:ascii="微软雅黑" w:hAnsi="微软雅黑" w:eastAsia="微软雅黑"/>
          <w:szCs w:val="20"/>
        </w:rPr>
        <w:t>格式的</w:t>
      </w:r>
      <w:r>
        <w:rPr>
          <w:rFonts w:hint="eastAsia" w:ascii="微软雅黑" w:hAnsi="微软雅黑" w:eastAsia="微软雅黑"/>
          <w:szCs w:val="20"/>
        </w:rPr>
        <w:t>设置</w:t>
      </w:r>
      <w:r>
        <w:rPr>
          <w:rFonts w:ascii="微软雅黑" w:hAnsi="微软雅黑" w:eastAsia="微软雅黑"/>
          <w:szCs w:val="20"/>
        </w:rPr>
        <w:t>和结果截图）；</w:t>
      </w:r>
    </w:p>
    <w:p>
      <w:pPr>
        <w:pStyle w:val="15"/>
        <w:numPr>
          <w:ilvl w:val="0"/>
          <w:numId w:val="1"/>
        </w:numPr>
        <w:ind w:firstLineChars="0"/>
        <w:rPr>
          <w:rFonts w:ascii="微软雅黑" w:hAnsi="微软雅黑" w:eastAsia="微软雅黑"/>
          <w:szCs w:val="20"/>
        </w:rPr>
      </w:pPr>
      <w:r>
        <w:rPr>
          <w:rFonts w:hint="eastAsia" w:ascii="微软雅黑" w:hAnsi="微软雅黑" w:eastAsia="微软雅黑"/>
          <w:sz w:val="22"/>
        </w:rPr>
        <w:t>▲</w:t>
      </w:r>
      <w:r>
        <w:rPr>
          <w:rFonts w:hint="eastAsia" w:ascii="微软雅黑" w:hAnsi="微软雅黑" w:eastAsia="微软雅黑"/>
          <w:szCs w:val="20"/>
        </w:rPr>
        <w:t>支持多种投影方式，允许自定义投影；支持动态投影，对多个已知坐标系的数据不需要转换投影，能够直接叠加在一起显示（需要截取两个不同坐标信息的数据在同一个地图中叠加显示后的截图）；</w:t>
      </w:r>
      <w:r>
        <w:rPr>
          <w:rFonts w:ascii="微软雅黑" w:hAnsi="微软雅黑" w:eastAsia="微软雅黑"/>
          <w:szCs w:val="20"/>
        </w:rPr>
        <w:t xml:space="preserve"> </w:t>
      </w:r>
    </w:p>
    <w:p>
      <w:pPr>
        <w:pStyle w:val="15"/>
        <w:numPr>
          <w:ilvl w:val="0"/>
          <w:numId w:val="1"/>
        </w:numPr>
        <w:ind w:firstLineChars="0"/>
        <w:rPr>
          <w:rFonts w:ascii="微软雅黑" w:hAnsi="微软雅黑" w:eastAsia="微软雅黑"/>
          <w:szCs w:val="20"/>
        </w:rPr>
      </w:pPr>
      <w:r>
        <w:rPr>
          <w:rFonts w:hint="eastAsia" w:ascii="微软雅黑" w:hAnsi="微软雅黑" w:eastAsia="微软雅黑"/>
          <w:szCs w:val="20"/>
        </w:rPr>
        <w:t>桌面软件工具箱里的工具都提供批处理模式。例如通过批处理的方式，给这多个分散的图层统一增加一个字段或者绘制一个区域对多个分散的图层进行批量裁剪，可以通过拖拽形式一次性加载多个图层作为批量操作的参数（需要提供至少两个工具进行批量处理的截图，提供裁剪工具上使用批量处理设置界面及运行结果截图）；</w:t>
      </w:r>
    </w:p>
    <w:p>
      <w:pPr>
        <w:pStyle w:val="15"/>
        <w:numPr>
          <w:ilvl w:val="0"/>
          <w:numId w:val="1"/>
        </w:numPr>
        <w:ind w:firstLineChars="0"/>
        <w:rPr>
          <w:rFonts w:ascii="微软雅黑" w:hAnsi="微软雅黑" w:eastAsia="微软雅黑"/>
          <w:szCs w:val="20"/>
        </w:rPr>
      </w:pPr>
      <w:r>
        <w:rPr>
          <w:rFonts w:hint="eastAsia" w:ascii="微软雅黑" w:hAnsi="微软雅黑" w:eastAsia="微软雅黑"/>
          <w:sz w:val="22"/>
        </w:rPr>
        <w:t>▲</w:t>
      </w:r>
      <w:r>
        <w:rPr>
          <w:rFonts w:hint="eastAsia" w:ascii="微软雅黑" w:hAnsi="微软雅黑" w:eastAsia="微软雅黑"/>
          <w:szCs w:val="20"/>
        </w:rPr>
        <w:t>支持拓扑关系模型，提供</w:t>
      </w:r>
      <w:r>
        <w:rPr>
          <w:rFonts w:ascii="微软雅黑" w:hAnsi="微软雅黑" w:eastAsia="微软雅黑"/>
          <w:szCs w:val="20"/>
        </w:rPr>
        <w:t xml:space="preserve">30种以上常规拓扑规则定义；通过拓扑关系维护数据库中空间数据一致性和完整性，包括拓扑关系定义，校验，拓扑错误改正及编辑工具,可以自定义拓扑规则的应用范围，允许将拓扑错误设为异常而不再参与拓扑的下次检查（需要提供支持的30种拓扑规则的列表截图、提供在拓扑检查时将错误信息标记为异常的截图）； </w:t>
      </w:r>
    </w:p>
    <w:p>
      <w:pPr>
        <w:pStyle w:val="15"/>
        <w:numPr>
          <w:ilvl w:val="0"/>
          <w:numId w:val="1"/>
        </w:numPr>
        <w:ind w:firstLineChars="0"/>
        <w:rPr>
          <w:rFonts w:ascii="微软雅黑" w:hAnsi="微软雅黑" w:eastAsia="微软雅黑"/>
          <w:szCs w:val="20"/>
        </w:rPr>
      </w:pPr>
      <w:r>
        <w:rPr>
          <w:rFonts w:hint="eastAsia" w:ascii="微软雅黑" w:hAnsi="微软雅黑" w:eastAsia="微软雅黑"/>
          <w:szCs w:val="20"/>
        </w:rPr>
        <w:t>支持高级地图标注功能，标注时可以进行自动去除重复标注、可在沿线重复标注、可以实现标注与要素的自动避让、多标注的自动换行等操作（需要提供去除线要素标注重复、要素标注自动避让线要素、点标注自动换行的效果截图）；在无法放置标注的时候，提供索引型标注，并在地图空白处显示索引描述（需要提供无法放置标注时在地图空白处提供索引号与标注文本对应效果截图）；</w:t>
      </w:r>
    </w:p>
    <w:p>
      <w:pPr>
        <w:pStyle w:val="15"/>
        <w:numPr>
          <w:ilvl w:val="0"/>
          <w:numId w:val="1"/>
        </w:numPr>
        <w:ind w:firstLineChars="0"/>
        <w:rPr>
          <w:rFonts w:ascii="微软雅黑" w:hAnsi="微软雅黑" w:eastAsia="微软雅黑"/>
          <w:szCs w:val="20"/>
        </w:rPr>
      </w:pPr>
      <w:r>
        <w:rPr>
          <w:rFonts w:hint="eastAsia" w:ascii="微软雅黑" w:hAnsi="微软雅黑" w:eastAsia="微软雅黑"/>
          <w:szCs w:val="20"/>
        </w:rPr>
        <w:t>支持将多个附件保存到地理要素中，而不是单纯的路径挂接，在查看要素属性时可以直接打开附件进行查看（需要截图附件管理界面截图和在属性查看器中查看附件的截图）；</w:t>
      </w:r>
    </w:p>
    <w:p>
      <w:pPr>
        <w:pStyle w:val="15"/>
        <w:numPr>
          <w:ilvl w:val="0"/>
          <w:numId w:val="1"/>
        </w:numPr>
        <w:ind w:firstLineChars="0"/>
        <w:rPr>
          <w:rFonts w:ascii="微软雅黑" w:hAnsi="微软雅黑" w:eastAsia="微软雅黑"/>
          <w:szCs w:val="20"/>
        </w:rPr>
      </w:pPr>
      <w:r>
        <w:rPr>
          <w:rFonts w:hint="eastAsia" w:ascii="微软雅黑" w:hAnsi="微软雅黑" w:eastAsia="微软雅黑"/>
          <w:sz w:val="22"/>
        </w:rPr>
        <w:t>▲</w:t>
      </w:r>
      <w:r>
        <w:rPr>
          <w:rFonts w:hint="eastAsia" w:ascii="微软雅黑" w:hAnsi="微软雅黑" w:eastAsia="微软雅黑"/>
          <w:szCs w:val="20"/>
        </w:rPr>
        <w:t>支持多种影像的管理方式，包括栅格数据集，栅格目录，镶嵌数据集（提供影像管理数据结构栅格目录、镶嵌数据集支持的截图）；</w:t>
      </w:r>
    </w:p>
    <w:p>
      <w:pPr>
        <w:pStyle w:val="15"/>
        <w:numPr>
          <w:ilvl w:val="0"/>
          <w:numId w:val="1"/>
        </w:numPr>
        <w:ind w:firstLineChars="0"/>
        <w:rPr>
          <w:rFonts w:ascii="微软雅黑" w:hAnsi="微软雅黑" w:eastAsia="微软雅黑"/>
          <w:sz w:val="22"/>
        </w:rPr>
      </w:pPr>
      <w:r>
        <w:rPr>
          <w:rFonts w:hint="eastAsia" w:ascii="微软雅黑" w:hAnsi="微软雅黑" w:eastAsia="微软雅黑"/>
          <w:sz w:val="22"/>
        </w:rPr>
        <w:t>在桌面</w:t>
      </w:r>
      <w:r>
        <w:rPr>
          <w:rFonts w:ascii="微软雅黑" w:hAnsi="微软雅黑" w:eastAsia="微软雅黑"/>
          <w:sz w:val="22"/>
        </w:rPr>
        <w:t>GIS软件中把影像数据发布成GIS影像服务，并可以在桌面GIS软件管理影像服务的各种参数（提供在桌面软件发布GIS影像服务的界面截图）；</w:t>
      </w:r>
    </w:p>
    <w:p>
      <w:pPr>
        <w:rPr>
          <w:sz w:val="24"/>
        </w:rPr>
      </w:pPr>
    </w:p>
    <w:p>
      <w:pPr>
        <w:pStyle w:val="2"/>
        <w:rPr>
          <w:szCs w:val="24"/>
        </w:rPr>
      </w:pPr>
      <w:r>
        <w:rPr>
          <w:rFonts w:hint="eastAsia"/>
          <w:szCs w:val="24"/>
        </w:rPr>
        <w:t>地理信息系统桌面网络分析软件：13.8万</w:t>
      </w:r>
    </w:p>
    <w:p>
      <w:pPr>
        <w:pStyle w:val="15"/>
        <w:numPr>
          <w:ilvl w:val="0"/>
          <w:numId w:val="2"/>
        </w:numPr>
        <w:ind w:firstLineChars="0"/>
        <w:rPr>
          <w:rFonts w:ascii="微软雅黑" w:hAnsi="微软雅黑" w:eastAsia="微软雅黑"/>
          <w:sz w:val="22"/>
        </w:rPr>
      </w:pPr>
      <w:r>
        <w:rPr>
          <w:rFonts w:hint="eastAsia" w:ascii="微软雅黑" w:hAnsi="微软雅黑" w:eastAsia="微软雅黑"/>
          <w:sz w:val="22"/>
        </w:rPr>
        <w:t>支持构建专业的交通网络分析模型，支持转弯，单行，通行能力权重设置，支持动态设置障碍。</w:t>
      </w:r>
    </w:p>
    <w:p>
      <w:pPr>
        <w:pStyle w:val="15"/>
        <w:numPr>
          <w:ilvl w:val="0"/>
          <w:numId w:val="2"/>
        </w:numPr>
        <w:ind w:firstLineChars="0"/>
        <w:rPr>
          <w:rFonts w:ascii="微软雅黑" w:hAnsi="微软雅黑" w:eastAsia="微软雅黑"/>
          <w:sz w:val="22"/>
        </w:rPr>
      </w:pPr>
      <w:r>
        <w:rPr>
          <w:rFonts w:hint="eastAsia" w:ascii="微软雅黑" w:hAnsi="微软雅黑" w:eastAsia="微软雅黑"/>
          <w:sz w:val="22"/>
        </w:rPr>
        <w:t>支持OD（出发点－目的地）矩阵。</w:t>
      </w:r>
    </w:p>
    <w:p>
      <w:pPr>
        <w:pStyle w:val="15"/>
        <w:numPr>
          <w:ilvl w:val="0"/>
          <w:numId w:val="2"/>
        </w:numPr>
        <w:ind w:firstLineChars="0"/>
        <w:rPr>
          <w:rFonts w:ascii="微软雅黑" w:hAnsi="微软雅黑" w:eastAsia="微软雅黑"/>
          <w:sz w:val="22"/>
        </w:rPr>
      </w:pPr>
      <w:r>
        <w:rPr>
          <w:rFonts w:hint="eastAsia" w:ascii="微软雅黑" w:hAnsi="微软雅黑" w:eastAsia="微软雅黑"/>
          <w:sz w:val="22"/>
        </w:rPr>
        <w:t>支持多模型网络的建模和分析,提供VRP（多路径派送）模型，支持多点多车的线路优化自动计算。</w:t>
      </w:r>
    </w:p>
    <w:p>
      <w:pPr>
        <w:pStyle w:val="15"/>
        <w:numPr>
          <w:ilvl w:val="0"/>
          <w:numId w:val="2"/>
        </w:numPr>
        <w:ind w:firstLineChars="0"/>
        <w:rPr>
          <w:rFonts w:ascii="微软雅黑" w:hAnsi="微软雅黑" w:eastAsia="微软雅黑"/>
          <w:sz w:val="22"/>
        </w:rPr>
      </w:pPr>
      <w:r>
        <w:rPr>
          <w:rFonts w:hint="eastAsia" w:ascii="微软雅黑" w:hAnsi="微软雅黑" w:eastAsia="微软雅黑"/>
          <w:sz w:val="22"/>
        </w:rPr>
        <w:t>自动生成基于地图驾驶导航图，支持实时交通数据。</w:t>
      </w:r>
    </w:p>
    <w:p>
      <w:pPr>
        <w:pStyle w:val="15"/>
        <w:numPr>
          <w:ilvl w:val="0"/>
          <w:numId w:val="2"/>
        </w:numPr>
        <w:ind w:firstLineChars="0"/>
        <w:rPr>
          <w:rFonts w:ascii="微软雅黑" w:hAnsi="微软雅黑" w:eastAsia="微软雅黑"/>
          <w:sz w:val="22"/>
        </w:rPr>
      </w:pPr>
      <w:r>
        <w:rPr>
          <w:rFonts w:hint="eastAsia" w:ascii="微软雅黑" w:hAnsi="微软雅黑" w:eastAsia="微软雅黑"/>
          <w:sz w:val="22"/>
        </w:rPr>
        <w:t>支持构建专业的交通网络分析模型，支持转弯，单行，通行能力权重设置，支持动态设置障碍。</w:t>
      </w:r>
    </w:p>
    <w:p>
      <w:pPr>
        <w:pStyle w:val="15"/>
        <w:numPr>
          <w:ilvl w:val="0"/>
          <w:numId w:val="2"/>
        </w:numPr>
        <w:ind w:firstLineChars="0"/>
        <w:rPr>
          <w:rFonts w:ascii="微软雅黑" w:hAnsi="微软雅黑" w:eastAsia="微软雅黑"/>
          <w:sz w:val="22"/>
        </w:rPr>
      </w:pPr>
      <w:r>
        <w:rPr>
          <w:rFonts w:hint="eastAsia" w:ascii="微软雅黑" w:hAnsi="微软雅黑" w:eastAsia="微软雅黑"/>
          <w:sz w:val="22"/>
        </w:rPr>
        <w:t>支持商业位置选址分析，包括最小化阻抗、最大化覆盖范围、最大化有容量限制的覆盖范围、最小化设施点、最大化人流量、最大化市场份额、目标市场份额。</w:t>
      </w:r>
    </w:p>
    <w:p>
      <w:pPr>
        <w:pStyle w:val="15"/>
        <w:numPr>
          <w:ilvl w:val="0"/>
          <w:numId w:val="2"/>
        </w:numPr>
        <w:ind w:firstLineChars="0"/>
        <w:rPr>
          <w:rFonts w:ascii="微软雅黑" w:hAnsi="微软雅黑" w:eastAsia="微软雅黑"/>
          <w:sz w:val="22"/>
        </w:rPr>
      </w:pPr>
      <w:r>
        <w:rPr>
          <w:rFonts w:hint="eastAsia" w:ascii="微软雅黑" w:hAnsi="微软雅黑" w:eastAsia="微软雅黑"/>
          <w:sz w:val="22"/>
        </w:rPr>
        <w:t>支持基于网络最优路径分析。</w:t>
      </w:r>
    </w:p>
    <w:p>
      <w:pPr>
        <w:pStyle w:val="15"/>
        <w:numPr>
          <w:ilvl w:val="0"/>
          <w:numId w:val="2"/>
        </w:numPr>
        <w:ind w:firstLineChars="0"/>
        <w:rPr>
          <w:rFonts w:ascii="微软雅黑" w:hAnsi="微软雅黑" w:eastAsia="微软雅黑"/>
          <w:sz w:val="22"/>
        </w:rPr>
      </w:pPr>
      <w:r>
        <w:rPr>
          <w:rFonts w:hint="eastAsia" w:ascii="微软雅黑" w:hAnsi="微软雅黑" w:eastAsia="微软雅黑"/>
          <w:sz w:val="22"/>
        </w:rPr>
        <w:t>支持基于网络的最近设施分析。</w:t>
      </w:r>
    </w:p>
    <w:p>
      <w:pPr>
        <w:pStyle w:val="15"/>
        <w:numPr>
          <w:ilvl w:val="0"/>
          <w:numId w:val="2"/>
        </w:numPr>
        <w:ind w:firstLineChars="0"/>
        <w:rPr>
          <w:rFonts w:ascii="微软雅黑" w:hAnsi="微软雅黑" w:eastAsia="微软雅黑"/>
          <w:sz w:val="22"/>
        </w:rPr>
      </w:pPr>
      <w:r>
        <w:rPr>
          <w:rFonts w:hint="eastAsia" w:ascii="微软雅黑" w:hAnsi="微软雅黑" w:eastAsia="微软雅黑"/>
          <w:sz w:val="22"/>
        </w:rPr>
        <w:t>支持基于网络的服务半径分析。</w:t>
      </w:r>
    </w:p>
    <w:p>
      <w:pPr>
        <w:pStyle w:val="15"/>
        <w:numPr>
          <w:ilvl w:val="0"/>
          <w:numId w:val="2"/>
        </w:numPr>
        <w:ind w:firstLineChars="0"/>
        <w:rPr>
          <w:rFonts w:ascii="微软雅黑" w:hAnsi="微软雅黑" w:eastAsia="微软雅黑"/>
          <w:sz w:val="22"/>
        </w:rPr>
      </w:pPr>
      <w:r>
        <w:rPr>
          <w:rFonts w:hint="eastAsia" w:ascii="微软雅黑" w:hAnsi="微软雅黑" w:eastAsia="微软雅黑"/>
          <w:sz w:val="22"/>
        </w:rPr>
        <w:t>支持OD（出发点－目的地）成本矩阵分析。</w:t>
      </w:r>
    </w:p>
    <w:p>
      <w:pPr>
        <w:pStyle w:val="15"/>
        <w:numPr>
          <w:ilvl w:val="0"/>
          <w:numId w:val="2"/>
        </w:numPr>
        <w:ind w:firstLineChars="0"/>
        <w:rPr>
          <w:rFonts w:ascii="微软雅黑" w:hAnsi="微软雅黑" w:eastAsia="微软雅黑"/>
          <w:sz w:val="22"/>
        </w:rPr>
      </w:pPr>
      <w:r>
        <w:rPr>
          <w:rFonts w:hint="eastAsia" w:ascii="微软雅黑" w:hAnsi="微软雅黑" w:eastAsia="微软雅黑"/>
          <w:sz w:val="22"/>
        </w:rPr>
        <w:t>提供VRP（多路径派送）模型，支持多点多车的线路优化自动计算</w:t>
      </w:r>
    </w:p>
    <w:p>
      <w:pPr>
        <w:pStyle w:val="2"/>
        <w:rPr>
          <w:szCs w:val="24"/>
        </w:rPr>
      </w:pPr>
      <w:r>
        <w:rPr>
          <w:rFonts w:hint="eastAsia"/>
          <w:szCs w:val="24"/>
        </w:rPr>
        <w:t>地理信息系统高级版企业级平台软件：17万</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具有TB级海量数据管理的空间数据库引擎技术，具有优秀的海量空间数据的管理能力，提供高效的访问速度；空间数据库引擎应能与各种通用数据库配合及底层连接，空间数据库引擎能同时存放矢量数据、影像数据（如卫星照片等）、CAD数据等；</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空间数据库引擎技术同时支持Oracle、SQL Server、DB2、InfoMix及PostgreSQL等数据库，并能支持在不同的物理数据库上进行空间数据同步；</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服务器软件平台内置提供web GIS搜索服务，并且提供rest服务以满足客户端进行访问；</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服务器软件平台内置提供GIS服务实例数调整功能，以满足不同计算压力场景；</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服务器软件平台提供对服务所占用的资源按需或者定时进行回收释放，以避免垃圾对象常驻内存造成内存泄漏，以及系统长时间运行带来的不稳定；</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▲为了能支持大用户并发访问量，要求具有弹性可伸缩的体系结构，支持完全对等、彼此识别、可热插拔的特性。在不停机的状态下，可动态添加和移除计算节点，不影响整个服务站点的使用；</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平台软件应具有长事务处理功能、版本管理功能和历史归档管理功能，能实现历史信息回溯功能；</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支持在桌面软件中来设置和管理企业级地理数据库；</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支持为服务设置详细的元数据信息，在发布资源时自动应用；支持按需编辑元数据；开发者可通过REST服务访问元数据信息；</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▲支持多种GIS服务的发布及叠加：如二维地图、地理编码、空间数据、OGC标准服务（如WMS、KML WFS、WCS）。并支持把桌面软件的模型构建器生成的地理处理模型发布为GP服务；能在客户端进行同步或者异步方式调用这些GP服务；</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支持基于Web的在线地图数据编辑，包括点、线、面的空间数据编辑和属性编辑，并支持多用户并发编辑；</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软件具有开放性特征，能用国际上通用的多种主流开发语言实现应用的开发，支持COM、.NET、J2EE；GIS平台应提供多种开发框架，例如Java、.Net、以及基于REST的开发模式，提供诸如Javascript等REST API；提供Web应用构建器或向导以及客户端框架，能通过向导方式以及配置框架方式快速构建WebGIS系统；</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支持动态地图缓存技术以提高服务性能；支持“紧凑型”的地图缓存打包技术，能够快速迁移和部署地图缓存；支持PNG和JPG混合模式的地图缓存；</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支持当前主流的智能手机操作系统如IOS、Android，提供相应的开发API用以构建手持端GIS应用；</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支持发布具有时态的地图服务，能在浏览器客户端展示时态数据；</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提供GIS服务端性能优化技术：服务器端地图切片技术、服务器端进程预运行、服务器端缓冲池、空间服务器对象池化（Pooling）配置机制、实例和进程占用模式的按需设置等；</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支持紧凑的切片存储,支持混合模式切片技术，可配置按不同区域用不同图片格式进行切片，提供服务器端切片机制和切片更新工具，支持指定范围或绘制自定义区域的切片更新和创建，支持切片地图服务与非切片地图服务的叠加显示；</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提供预配置的在线打印服务，用于Web地图打印。开发者可以通过基于REST服务的Javascript应用从地图服务获取高质量、满足制图要求的图片输出打印，而不是单纯的从浏览器端截图。通过打印服务，可以调整地图的图层顺序、修改地图符号、支持图例输出、支持按照区域或比例方式进行打印；</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在 Windows 平台上支持服务器端的逻辑示意图模块，支持用于在 Web 应用程序中生成和更新逻辑示意图的功能，它还允许用户在整个企业乃至整个Web范围内通过server共享逻辑示意图；</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▲支持服务器端的三维分析功能：包括坡度、坡向、山体阴影分析、在三维中生成剖面；</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支持服务器端的地理统计分析功能，分析、显示连续数据和生成表面。支持流程化的地理处理服务发布</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▲支持服务器端的网络分析功能：提供路线、行进方向、最优路径，最近设施，服务区等。开发人员可以使用该扩展模块构建和部署自定义网络应用程序；</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在 Windows 平台上支持服务器端的逻辑示意图模块，支持用于在 Web 应用程序中生成和更新逻辑示意图的功能，它还允许用户在整个企业乃至整个Web范围内通过server共享逻辑示意图；</w:t>
      </w:r>
    </w:p>
    <w:p>
      <w:pPr>
        <w:pStyle w:val="15"/>
        <w:numPr>
          <w:ilvl w:val="0"/>
          <w:numId w:val="3"/>
        </w:numPr>
        <w:ind w:firstLineChars="0"/>
        <w:rPr>
          <w:rFonts w:ascii="微软雅黑" w:hAnsi="微软雅黑" w:eastAsia="微软雅黑"/>
          <w:sz w:val="22"/>
        </w:rPr>
      </w:pPr>
      <w:r>
        <w:rPr>
          <w:rFonts w:hint="eastAsia" w:ascii="微软雅黑" w:hAnsi="微软雅黑" w:eastAsia="微软雅黑"/>
          <w:sz w:val="22"/>
        </w:rPr>
        <w:t>▲要求可在多个Portal门户之间进行便捷的资源共享，包括本地Portal与公有云平台之间的资源共享，提供5个用户可以用于数据管理与运维；</w:t>
      </w:r>
    </w:p>
    <w:p>
      <w:pPr>
        <w:rPr>
          <w:sz w:val="24"/>
        </w:rPr>
      </w:pPr>
    </w:p>
    <w:p>
      <w:pPr>
        <w:rPr>
          <w:b/>
          <w:sz w:val="22"/>
        </w:rPr>
      </w:pPr>
      <w:r>
        <w:rPr>
          <w:rFonts w:hint="eastAsia"/>
          <w:b/>
          <w:sz w:val="28"/>
        </w:rPr>
        <w:t>备注</w:t>
      </w:r>
      <w:r>
        <w:rPr>
          <w:rFonts w:hint="eastAsia"/>
          <w:b/>
          <w:sz w:val="22"/>
        </w:rPr>
        <w:t>：</w:t>
      </w:r>
    </w:p>
    <w:p>
      <w:pPr>
        <w:pStyle w:val="15"/>
        <w:numPr>
          <w:ilvl w:val="0"/>
          <w:numId w:val="4"/>
        </w:numPr>
        <w:ind w:firstLineChars="0"/>
        <w:rPr>
          <w:rFonts w:ascii="微软雅黑" w:hAnsi="微软雅黑" w:eastAsia="微软雅黑"/>
          <w:sz w:val="22"/>
        </w:rPr>
      </w:pPr>
      <w:r>
        <w:rPr>
          <w:rFonts w:hint="eastAsia" w:ascii="微软雅黑" w:hAnsi="微软雅黑" w:eastAsia="微软雅黑"/>
          <w:sz w:val="22"/>
        </w:rPr>
        <w:t>参数中标“▲”为必须满足项；</w:t>
      </w:r>
    </w:p>
    <w:p>
      <w:pPr>
        <w:pStyle w:val="15"/>
        <w:numPr>
          <w:ilvl w:val="0"/>
          <w:numId w:val="4"/>
        </w:numPr>
        <w:ind w:firstLineChars="0"/>
        <w:rPr>
          <w:rFonts w:ascii="微软雅黑" w:hAnsi="微软雅黑" w:eastAsia="微软雅黑"/>
          <w:sz w:val="22"/>
        </w:rPr>
      </w:pPr>
      <w:r>
        <w:rPr>
          <w:rFonts w:hint="eastAsia" w:ascii="微软雅黑" w:hAnsi="微软雅黑" w:eastAsia="微软雅黑"/>
          <w:sz w:val="22"/>
        </w:rPr>
        <w:t>▲免费为采购人提供ArcGIS中国培训中心的两门课程：ARCGIS DESKTOP应用教程2人/次和ARCGIS PRO应用教程，2人/次。</w:t>
      </w:r>
    </w:p>
    <w:p>
      <w:pPr>
        <w:pStyle w:val="15"/>
        <w:numPr>
          <w:ilvl w:val="0"/>
          <w:numId w:val="4"/>
        </w:numPr>
        <w:ind w:firstLineChars="0"/>
        <w:rPr>
          <w:rFonts w:ascii="微软雅黑" w:hAnsi="微软雅黑" w:eastAsia="微软雅黑"/>
          <w:sz w:val="22"/>
        </w:rPr>
      </w:pPr>
      <w:r>
        <w:rPr>
          <w:rFonts w:hint="eastAsia" w:ascii="微软雅黑" w:hAnsi="微软雅黑" w:eastAsia="微软雅黑"/>
          <w:sz w:val="22"/>
        </w:rPr>
        <w:t>合同签订时需提供ArcGIS原厂商授权函及售后服务承诺函。</w:t>
      </w:r>
    </w:p>
    <w:p>
      <w:pPr>
        <w:pStyle w:val="15"/>
        <w:numPr>
          <w:ilvl w:val="0"/>
          <w:numId w:val="4"/>
        </w:numPr>
        <w:ind w:firstLineChars="0"/>
        <w:rPr>
          <w:rFonts w:ascii="微软雅黑" w:hAnsi="微软雅黑" w:eastAsia="微软雅黑"/>
          <w:sz w:val="22"/>
        </w:rPr>
      </w:pPr>
      <w:r>
        <w:rPr>
          <w:rFonts w:hint="eastAsia" w:ascii="微软雅黑" w:hAnsi="微软雅黑" w:eastAsia="微软雅黑"/>
          <w:sz w:val="22"/>
          <w:lang w:eastAsia="zh-CN"/>
        </w:rPr>
        <w:t>询价</w:t>
      </w:r>
      <w:r>
        <w:rPr>
          <w:rFonts w:hint="eastAsia" w:ascii="微软雅黑" w:hAnsi="微软雅黑" w:eastAsia="微软雅黑"/>
          <w:sz w:val="22"/>
        </w:rPr>
        <w:t>时投标商需提供以上地理信息系统桌面软件招标参数的点对点技术响应书，其中注明需要截图说明的，需要按照要求提供每个功能的操作截图说明，并尾页加盖原厂商公章。</w:t>
      </w:r>
    </w:p>
    <w:p>
      <w:pPr>
        <w:pStyle w:val="15"/>
        <w:numPr>
          <w:ilvl w:val="0"/>
          <w:numId w:val="4"/>
        </w:numPr>
        <w:ind w:firstLineChars="0"/>
        <w:rPr>
          <w:rFonts w:ascii="微软雅黑" w:hAnsi="微软雅黑" w:eastAsia="微软雅黑"/>
          <w:sz w:val="22"/>
        </w:rPr>
      </w:pPr>
      <w:r>
        <w:rPr>
          <w:rFonts w:hint="eastAsia" w:ascii="微软雅黑" w:hAnsi="微软雅黑" w:eastAsia="微软雅黑"/>
          <w:sz w:val="22"/>
        </w:rPr>
        <w:t>以上所有地理信息系统桌面软件参数为重要条款不允许偏离，如报价文件中对以下条款有偏离，则将导致该报价无效。</w:t>
      </w:r>
    </w:p>
    <w:p>
      <w:pPr>
        <w:rPr>
          <w:rFonts w:hint="eastAsia"/>
          <w:szCs w:val="24"/>
        </w:rPr>
        <w:sectPr>
          <w:pgSz w:w="11906" w:h="16838"/>
          <w:pgMar w:top="1440" w:right="1800" w:bottom="1440" w:left="1800" w:header="851" w:footer="992" w:gutter="0"/>
          <w:paperSrc/>
          <w:cols w:space="0" w:num="1"/>
          <w:rtlGutter w:val="0"/>
          <w:docGrid w:type="lines" w:linePitch="312" w:charSpace="0"/>
        </w:sectPr>
      </w:pPr>
      <w:r>
        <w:rPr>
          <w:rFonts w:hint="eastAsia" w:ascii="微软雅黑" w:hAnsi="微软雅黑" w:eastAsia="微软雅黑"/>
          <w:sz w:val="22"/>
          <w:lang w:val="en-US" w:eastAsia="zh-CN"/>
        </w:rPr>
        <w:t>6）</w:t>
      </w:r>
      <w:r>
        <w:rPr>
          <w:rFonts w:hint="eastAsia" w:ascii="微软雅黑" w:hAnsi="微软雅黑" w:eastAsia="微软雅黑"/>
          <w:sz w:val="22"/>
          <w:lang w:eastAsia="zh-CN"/>
        </w:rPr>
        <w:t>供应商</w:t>
      </w:r>
      <w:r>
        <w:rPr>
          <w:rFonts w:hint="eastAsia" w:ascii="微软雅黑" w:hAnsi="微软雅黑" w:eastAsia="微软雅黑"/>
          <w:sz w:val="22"/>
        </w:rPr>
        <w:t>提供的技术参数和相应证明材料应客观真实，</w:t>
      </w:r>
      <w:r>
        <w:rPr>
          <w:rFonts w:hint="eastAsia" w:ascii="微软雅黑" w:hAnsi="微软雅黑" w:eastAsia="微软雅黑"/>
          <w:sz w:val="22"/>
          <w:lang w:eastAsia="zh-CN"/>
        </w:rPr>
        <w:t>需方</w:t>
      </w:r>
      <w:r>
        <w:rPr>
          <w:rFonts w:hint="eastAsia" w:ascii="微软雅黑" w:hAnsi="微软雅黑" w:eastAsia="微软雅黑"/>
          <w:sz w:val="22"/>
        </w:rPr>
        <w:t>在合同签订前，有权针对</w:t>
      </w:r>
      <w:r>
        <w:rPr>
          <w:rFonts w:hint="eastAsia" w:ascii="微软雅黑" w:hAnsi="微软雅黑" w:eastAsia="微软雅黑"/>
          <w:sz w:val="22"/>
          <w:lang w:eastAsia="zh-CN"/>
        </w:rPr>
        <w:t>询价文件</w:t>
      </w:r>
      <w:r>
        <w:rPr>
          <w:rFonts w:hint="eastAsia" w:ascii="微软雅黑" w:hAnsi="微软雅黑" w:eastAsia="微软雅黑"/>
          <w:sz w:val="22"/>
        </w:rPr>
        <w:t>提出的要求和技术参数进行逐条测试和核实，并向原厂商进行正版验证，如有不满足</w:t>
      </w:r>
      <w:r>
        <w:rPr>
          <w:rFonts w:hint="eastAsia" w:ascii="微软雅黑" w:hAnsi="微软雅黑" w:eastAsia="微软雅黑"/>
          <w:sz w:val="22"/>
          <w:lang w:eastAsia="zh-CN"/>
        </w:rPr>
        <w:t>询价</w:t>
      </w:r>
      <w:r>
        <w:rPr>
          <w:rFonts w:hint="eastAsia" w:ascii="微软雅黑" w:hAnsi="微软雅黑" w:eastAsia="微软雅黑"/>
          <w:sz w:val="22"/>
        </w:rPr>
        <w:t>要求和技术参数的则视为实质性不响应，</w:t>
      </w:r>
      <w:r>
        <w:rPr>
          <w:rFonts w:hint="eastAsia" w:ascii="微软雅黑" w:hAnsi="微软雅黑" w:eastAsia="微软雅黑"/>
          <w:sz w:val="22"/>
          <w:lang w:eastAsia="zh-CN"/>
        </w:rPr>
        <w:t>需方</w:t>
      </w:r>
      <w:r>
        <w:rPr>
          <w:rFonts w:hint="eastAsia" w:ascii="微软雅黑" w:hAnsi="微软雅黑" w:eastAsia="微软雅黑"/>
          <w:sz w:val="22"/>
        </w:rPr>
        <w:t>有权取消其中标资格，追究其法律责任，其中所产生的费用由该中标人承担</w:t>
      </w:r>
      <w:bookmarkStart w:id="0" w:name="_GoBack"/>
      <w:bookmarkEnd w:id="0"/>
      <w:r>
        <w:rPr>
          <w:rFonts w:hint="eastAsia" w:ascii="微软雅黑" w:hAnsi="微软雅黑" w:eastAsia="微软雅黑"/>
          <w:sz w:val="22"/>
        </w:rPr>
        <w:t>。</w:t>
      </w:r>
    </w:p>
    <w:p>
      <w:pPr>
        <w:pStyle w:val="15"/>
        <w:numPr>
          <w:numId w:val="0"/>
        </w:numPr>
        <w:ind w:leftChars="0"/>
        <w:rPr>
          <w:rFonts w:ascii="微软雅黑" w:hAnsi="微软雅黑" w:eastAsia="微软雅黑"/>
          <w:sz w:val="22"/>
        </w:rPr>
      </w:pPr>
    </w:p>
    <w:p>
      <w:pPr>
        <w:rPr>
          <w:rFonts w:hint="eastAsia"/>
          <w:szCs w:val="24"/>
        </w:rPr>
      </w:pPr>
    </w:p>
    <w:p>
      <w:pPr>
        <w:rPr>
          <w:rFonts w:hint="eastAsia"/>
          <w:szCs w:val="24"/>
        </w:rPr>
      </w:pPr>
    </w:p>
    <w:p>
      <w:pPr>
        <w:rPr>
          <w:rFonts w:hint="eastAsia"/>
          <w:szCs w:val="24"/>
        </w:rPr>
      </w:pPr>
    </w:p>
    <w:p>
      <w:pPr>
        <w:rPr>
          <w:rFonts w:hint="eastAsia"/>
        </w:rPr>
        <w:sectPr>
          <w:pgSz w:w="11906" w:h="16838"/>
          <w:pgMar w:top="1440" w:right="1800" w:bottom="1440" w:left="1800" w:header="851" w:footer="992" w:gutter="0"/>
          <w:paperSrc/>
          <w:cols w:space="0" w:num="1"/>
          <w:rtlGutter w:val="0"/>
          <w:docGrid w:type="lines" w:linePitch="312" w:charSpace="0"/>
        </w:sectPr>
      </w:pPr>
    </w:p>
    <w:p>
      <w:pPr>
        <w:pStyle w:val="15"/>
        <w:numPr>
          <w:numId w:val="0"/>
        </w:numPr>
        <w:ind w:leftChars="0"/>
        <w:rPr>
          <w:rFonts w:ascii="微软雅黑" w:hAnsi="微软雅黑" w:eastAsia="微软雅黑"/>
          <w:sz w:val="22"/>
        </w:rPr>
      </w:pPr>
    </w:p>
    <w:sectPr>
      <w:pgSz w:w="11906" w:h="16838"/>
      <w:pgMar w:top="1440" w:right="1800" w:bottom="1440" w:left="180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37C28"/>
    <w:multiLevelType w:val="multilevel"/>
    <w:tmpl w:val="11337C2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340255D"/>
    <w:multiLevelType w:val="multilevel"/>
    <w:tmpl w:val="4340255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8B3EAB"/>
    <w:multiLevelType w:val="multilevel"/>
    <w:tmpl w:val="698B3EA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E7C6C9C"/>
    <w:multiLevelType w:val="multilevel"/>
    <w:tmpl w:val="6E7C6C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5E2"/>
    <w:rsid w:val="00014F57"/>
    <w:rsid w:val="00043768"/>
    <w:rsid w:val="000A00EB"/>
    <w:rsid w:val="000A6CF5"/>
    <w:rsid w:val="000C6A2D"/>
    <w:rsid w:val="00101AF3"/>
    <w:rsid w:val="001115EB"/>
    <w:rsid w:val="001325BA"/>
    <w:rsid w:val="00165034"/>
    <w:rsid w:val="001964BC"/>
    <w:rsid w:val="003265F8"/>
    <w:rsid w:val="00373D31"/>
    <w:rsid w:val="00375B83"/>
    <w:rsid w:val="00377B65"/>
    <w:rsid w:val="004146FF"/>
    <w:rsid w:val="00432764"/>
    <w:rsid w:val="00443FEB"/>
    <w:rsid w:val="004C7BA8"/>
    <w:rsid w:val="00532352"/>
    <w:rsid w:val="00535013"/>
    <w:rsid w:val="005E63FD"/>
    <w:rsid w:val="00617D48"/>
    <w:rsid w:val="00635618"/>
    <w:rsid w:val="007246F7"/>
    <w:rsid w:val="00746147"/>
    <w:rsid w:val="00760128"/>
    <w:rsid w:val="007776AC"/>
    <w:rsid w:val="007A5E71"/>
    <w:rsid w:val="008126FC"/>
    <w:rsid w:val="008274AE"/>
    <w:rsid w:val="00827CE9"/>
    <w:rsid w:val="0089044D"/>
    <w:rsid w:val="00895096"/>
    <w:rsid w:val="008F76CC"/>
    <w:rsid w:val="00910201"/>
    <w:rsid w:val="00937696"/>
    <w:rsid w:val="009A0604"/>
    <w:rsid w:val="009E0926"/>
    <w:rsid w:val="00A82280"/>
    <w:rsid w:val="00A84007"/>
    <w:rsid w:val="00A94A8D"/>
    <w:rsid w:val="00A95C1B"/>
    <w:rsid w:val="00AB0462"/>
    <w:rsid w:val="00B222CE"/>
    <w:rsid w:val="00B25C1F"/>
    <w:rsid w:val="00B56B50"/>
    <w:rsid w:val="00B738F6"/>
    <w:rsid w:val="00BA400D"/>
    <w:rsid w:val="00BB4AE7"/>
    <w:rsid w:val="00C0638E"/>
    <w:rsid w:val="00C41E97"/>
    <w:rsid w:val="00C6694A"/>
    <w:rsid w:val="00CA35E2"/>
    <w:rsid w:val="00CC0A07"/>
    <w:rsid w:val="00D01405"/>
    <w:rsid w:val="00D93BC3"/>
    <w:rsid w:val="00DC0923"/>
    <w:rsid w:val="00DE36FC"/>
    <w:rsid w:val="00E135A8"/>
    <w:rsid w:val="00F11321"/>
    <w:rsid w:val="00F20291"/>
    <w:rsid w:val="00F2513B"/>
    <w:rsid w:val="00F37995"/>
    <w:rsid w:val="00F539B9"/>
    <w:rsid w:val="00F60D35"/>
    <w:rsid w:val="3F333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13"/>
    <w:qFormat/>
    <w:uiPriority w:val="10"/>
    <w:pPr>
      <w:spacing w:before="240" w:after="60"/>
      <w:jc w:val="center"/>
      <w:outlineLvl w:val="0"/>
    </w:pPr>
    <w:rPr>
      <w:rFonts w:asciiTheme="majorHAnsi" w:hAnsiTheme="majorHAnsi" w:eastAsiaTheme="majorEastAsia" w:cstheme="majorBidi"/>
      <w:b/>
      <w:bCs/>
      <w:sz w:val="32"/>
      <w:szCs w:val="32"/>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8"/>
    <w:link w:val="4"/>
    <w:uiPriority w:val="99"/>
    <w:rPr>
      <w:sz w:val="18"/>
      <w:szCs w:val="18"/>
    </w:rPr>
  </w:style>
  <w:style w:type="character" w:customStyle="1" w:styleId="10">
    <w:name w:val="页脚 Char"/>
    <w:basedOn w:val="8"/>
    <w:link w:val="3"/>
    <w:qFormat/>
    <w:uiPriority w:val="99"/>
    <w:rPr>
      <w:sz w:val="18"/>
      <w:szCs w:val="18"/>
    </w:rPr>
  </w:style>
  <w:style w:type="paragraph" w:customStyle="1" w:styleId="11">
    <w:name w:val="列出段落1"/>
    <w:basedOn w:val="1"/>
    <w:link w:val="12"/>
    <w:qFormat/>
    <w:uiPriority w:val="0"/>
    <w:pPr>
      <w:widowControl/>
      <w:ind w:firstLine="420" w:firstLineChars="200"/>
      <w:jc w:val="left"/>
    </w:pPr>
    <w:rPr>
      <w:kern w:val="0"/>
      <w:sz w:val="20"/>
      <w:szCs w:val="20"/>
    </w:rPr>
  </w:style>
  <w:style w:type="character" w:customStyle="1" w:styleId="12">
    <w:name w:val="列出段落 Char"/>
    <w:link w:val="11"/>
    <w:qFormat/>
    <w:uiPriority w:val="0"/>
    <w:rPr>
      <w:rFonts w:cs="Times New Roman"/>
      <w:kern w:val="0"/>
      <w:sz w:val="20"/>
      <w:szCs w:val="20"/>
    </w:rPr>
  </w:style>
  <w:style w:type="character" w:customStyle="1" w:styleId="13">
    <w:name w:val="标题 Char"/>
    <w:basedOn w:val="8"/>
    <w:link w:val="5"/>
    <w:qFormat/>
    <w:uiPriority w:val="10"/>
    <w:rPr>
      <w:rFonts w:asciiTheme="majorHAnsi" w:hAnsiTheme="majorHAnsi" w:eastAsiaTheme="majorEastAsia" w:cstheme="majorBidi"/>
      <w:b/>
      <w:bCs/>
      <w:sz w:val="32"/>
      <w:szCs w:val="32"/>
    </w:rPr>
  </w:style>
  <w:style w:type="character" w:customStyle="1" w:styleId="14">
    <w:name w:val="标题 2 Char"/>
    <w:basedOn w:val="8"/>
    <w:link w:val="2"/>
    <w:qFormat/>
    <w:uiPriority w:val="9"/>
    <w:rPr>
      <w:rFonts w:asciiTheme="majorHAnsi" w:hAnsiTheme="majorHAnsi" w:eastAsiaTheme="majorEastAsia" w:cstheme="majorBidi"/>
      <w:b/>
      <w:bCs/>
      <w:sz w:val="32"/>
      <w:szCs w:val="32"/>
    </w:rPr>
  </w:style>
  <w:style w:type="paragraph" w:styleId="15">
    <w:name w:val="List Paragraph"/>
    <w:basedOn w:val="1"/>
    <w:qFormat/>
    <w:uiPriority w:val="34"/>
    <w:pPr>
      <w:ind w:firstLine="420" w:firstLineChars="200"/>
    </w:pPr>
  </w:style>
  <w:style w:type="character" w:customStyle="1" w:styleId="16">
    <w:name w:val="font61"/>
    <w:basedOn w:val="8"/>
    <w:uiPriority w:val="0"/>
    <w:rPr>
      <w:rFonts w:hint="eastAsia" w:ascii="宋体" w:hAnsi="宋体" w:eastAsia="宋体" w:cs="宋体"/>
      <w:color w:val="000000"/>
      <w:sz w:val="20"/>
      <w:szCs w:val="20"/>
      <w:u w:val="none"/>
    </w:rPr>
  </w:style>
  <w:style w:type="character" w:customStyle="1" w:styleId="17">
    <w:name w:val="font31"/>
    <w:basedOn w:val="8"/>
    <w:uiPriority w:val="0"/>
    <w:rPr>
      <w:rFonts w:hint="eastAsia" w:ascii="宋体" w:hAnsi="宋体" w:eastAsia="宋体" w:cs="宋体"/>
      <w:b/>
      <w:color w:val="000000"/>
      <w:sz w:val="20"/>
      <w:szCs w:val="20"/>
      <w:u w:val="none"/>
    </w:rPr>
  </w:style>
  <w:style w:type="character" w:customStyle="1" w:styleId="18">
    <w:name w:val="font41"/>
    <w:basedOn w:val="8"/>
    <w:uiPriority w:val="0"/>
    <w:rPr>
      <w:rFonts w:hint="eastAsia" w:ascii="宋体" w:hAnsi="宋体" w:eastAsia="宋体" w:cs="宋体"/>
      <w:b/>
      <w:color w:val="000000"/>
      <w:sz w:val="20"/>
      <w:szCs w:val="20"/>
      <w:u w:val="none"/>
    </w:rPr>
  </w:style>
  <w:style w:type="character" w:customStyle="1" w:styleId="19">
    <w:name w:val="font21"/>
    <w:basedOn w:val="8"/>
    <w:uiPriority w:val="0"/>
    <w:rPr>
      <w:rFonts w:hint="default" w:ascii="Times New Roman" w:hAnsi="Times New Roman" w:cs="Times New Roman"/>
      <w:color w:val="000000"/>
      <w:sz w:val="20"/>
      <w:szCs w:val="20"/>
      <w:u w:val="none"/>
    </w:rPr>
  </w:style>
  <w:style w:type="character" w:customStyle="1" w:styleId="20">
    <w:name w:val="font01"/>
    <w:basedOn w:val="8"/>
    <w:uiPriority w:val="0"/>
    <w:rPr>
      <w:rFonts w:hint="default" w:ascii="等线" w:hAnsi="等线" w:eastAsia="等线" w:cs="等线"/>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771</Words>
  <Characters>4398</Characters>
  <Lines>36</Lines>
  <Paragraphs>10</Paragraphs>
  <TotalTime>0</TotalTime>
  <ScaleCrop>false</ScaleCrop>
  <LinksUpToDate>false</LinksUpToDate>
  <CharactersWithSpaces>5159</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2019-09-25T02:31:00Z</dcterms:created>
  <dc:creator>王 帅帅</dc:creator>
  <cp:lastModifiedBy>陈文何</cp:lastModifiedBy>
  <dcterms:modified xsi:type="dcterms:W3CDTF">2019-10-30T08:11:40Z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