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1"/>
        <w:jc w:val="center"/>
        <w:rPr>
          <w:rFonts w:ascii="宋体" w:hAnsi="宋体" w:eastAsia="宋体"/>
          <w:sz w:val="48"/>
          <w:szCs w:val="48"/>
        </w:rPr>
      </w:pPr>
      <w:r>
        <w:rPr>
          <w:rFonts w:hint="eastAsia" w:ascii="宋体" w:hAnsi="宋体" w:eastAsia="宋体"/>
          <w:b/>
          <w:sz w:val="48"/>
          <w:szCs w:val="48"/>
        </w:rPr>
        <w:t xml:space="preserve">                                                                                                                                                                                                 货</w:t>
      </w:r>
      <w:r>
        <w:rPr>
          <w:rFonts w:ascii="宋体" w:hAnsi="宋体" w:eastAsia="宋体"/>
          <w:b/>
          <w:sz w:val="48"/>
          <w:szCs w:val="48"/>
        </w:rPr>
        <w:t xml:space="preserve"> </w:t>
      </w:r>
      <w:r>
        <w:rPr>
          <w:rFonts w:hint="eastAsia" w:ascii="宋体" w:hAnsi="宋体" w:eastAsia="宋体"/>
          <w:b/>
          <w:sz w:val="48"/>
          <w:szCs w:val="48"/>
        </w:rPr>
        <w:t>物</w:t>
      </w:r>
      <w:r>
        <w:rPr>
          <w:rFonts w:ascii="宋体" w:hAnsi="宋体" w:eastAsia="宋体"/>
          <w:b/>
          <w:sz w:val="48"/>
          <w:szCs w:val="48"/>
        </w:rPr>
        <w:t xml:space="preserve"> </w:t>
      </w:r>
      <w:r>
        <w:rPr>
          <w:rFonts w:hint="eastAsia" w:ascii="宋体" w:hAnsi="宋体" w:eastAsia="宋体"/>
          <w:b/>
          <w:sz w:val="48"/>
          <w:szCs w:val="48"/>
        </w:rPr>
        <w:t>购</w:t>
      </w:r>
      <w:r>
        <w:rPr>
          <w:rFonts w:ascii="宋体" w:hAnsi="宋体" w:eastAsia="宋体"/>
          <w:b/>
          <w:sz w:val="48"/>
          <w:szCs w:val="48"/>
        </w:rPr>
        <w:t xml:space="preserve"> </w:t>
      </w:r>
      <w:r>
        <w:rPr>
          <w:rFonts w:hint="eastAsia" w:ascii="宋体" w:hAnsi="宋体" w:eastAsia="宋体"/>
          <w:b/>
          <w:sz w:val="48"/>
          <w:szCs w:val="48"/>
        </w:rPr>
        <w:t>置</w:t>
      </w:r>
      <w:r>
        <w:rPr>
          <w:rFonts w:ascii="宋体" w:hAnsi="宋体" w:eastAsia="宋体"/>
          <w:b/>
          <w:sz w:val="48"/>
          <w:szCs w:val="48"/>
        </w:rPr>
        <w:t xml:space="preserve"> </w:t>
      </w:r>
      <w:r>
        <w:rPr>
          <w:rFonts w:hint="eastAsia" w:ascii="宋体" w:hAnsi="宋体" w:eastAsia="宋体"/>
          <w:b/>
          <w:sz w:val="48"/>
          <w:szCs w:val="48"/>
        </w:rPr>
        <w:t>计</w:t>
      </w:r>
      <w:r>
        <w:rPr>
          <w:rFonts w:ascii="宋体" w:hAnsi="宋体" w:eastAsia="宋体"/>
          <w:b/>
          <w:sz w:val="48"/>
          <w:szCs w:val="48"/>
        </w:rPr>
        <w:t xml:space="preserve"> </w:t>
      </w:r>
      <w:r>
        <w:rPr>
          <w:rFonts w:hint="eastAsia" w:ascii="宋体" w:hAnsi="宋体" w:eastAsia="宋体"/>
          <w:b/>
          <w:sz w:val="48"/>
          <w:szCs w:val="48"/>
        </w:rPr>
        <w:t>划</w:t>
      </w:r>
    </w:p>
    <w:p>
      <w:pPr>
        <w:ind w:left="-2" w:leftChars="-1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申购单位：农学院</w:t>
      </w:r>
      <w:r>
        <w:rPr>
          <w:rFonts w:ascii="宋体" w:hAnsi="宋体" w:eastAsia="宋体"/>
          <w:sz w:val="28"/>
          <w:szCs w:val="28"/>
        </w:rPr>
        <w:t xml:space="preserve">                                      </w:t>
      </w:r>
      <w:r>
        <w:rPr>
          <w:rFonts w:hint="eastAsia" w:ascii="宋体" w:hAnsi="宋体" w:eastAsia="宋体"/>
          <w:sz w:val="28"/>
          <w:szCs w:val="28"/>
        </w:rPr>
        <w:t>填表日期：</w:t>
      </w:r>
      <w:r>
        <w:rPr>
          <w:rFonts w:ascii="宋体" w:hAnsi="宋体" w:eastAsia="宋体"/>
          <w:sz w:val="28"/>
          <w:szCs w:val="28"/>
        </w:rPr>
        <w:t>2018-</w:t>
      </w: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-19</w:t>
      </w:r>
    </w:p>
    <w:p>
      <w:pPr>
        <w:ind w:left="-2" w:leftChars="-1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子项目名称：实验室基础设备采购项目</w:t>
      </w:r>
      <w:r>
        <w:rPr>
          <w:rFonts w:ascii="宋体" w:hAnsi="宋体" w:eastAsia="宋体"/>
          <w:sz w:val="28"/>
          <w:szCs w:val="28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经办人及联系电话：王老师17604014010</w:t>
      </w:r>
    </w:p>
    <w:tbl>
      <w:tblPr>
        <w:tblStyle w:val="7"/>
        <w:tblW w:w="14633" w:type="dxa"/>
        <w:tblInd w:w="-6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720"/>
        <w:gridCol w:w="993"/>
        <w:gridCol w:w="5118"/>
        <w:gridCol w:w="899"/>
        <w:gridCol w:w="720"/>
        <w:gridCol w:w="899"/>
        <w:gridCol w:w="539"/>
        <w:gridCol w:w="548"/>
        <w:gridCol w:w="899"/>
        <w:gridCol w:w="723"/>
        <w:gridCol w:w="1080"/>
        <w:gridCol w:w="106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427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序号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货物名称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品牌/型号</w:t>
            </w:r>
          </w:p>
        </w:tc>
        <w:tc>
          <w:tcPr>
            <w:tcW w:w="5118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技术参数及配置、商务条款和附件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生产厂家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产地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单价 （元）</w:t>
            </w:r>
          </w:p>
        </w:tc>
        <w:tc>
          <w:tcPr>
            <w:tcW w:w="539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数量</w:t>
            </w:r>
          </w:p>
        </w:tc>
        <w:tc>
          <w:tcPr>
            <w:tcW w:w="548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单位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金额   （元）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询价方式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询价人姓名及联系方式</w:t>
            </w:r>
          </w:p>
        </w:tc>
        <w:tc>
          <w:tcPr>
            <w:tcW w:w="1068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拟安放地点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7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PCR仪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GT9612</w:t>
            </w:r>
            <w:r>
              <w:rPr>
                <w:rStyle w:val="10"/>
                <w:rFonts w:ascii="Times New Roman" w:hAnsi="Times New Roman" w:eastAsia="宋体"/>
                <w:i w:val="0"/>
                <w:iCs w:val="0"/>
                <w:sz w:val="21"/>
                <w:szCs w:val="21"/>
                <w:shd w:val="clear" w:color="auto" w:fill="FFFFFF"/>
              </w:rPr>
              <w:t>柏恒</w:t>
            </w:r>
          </w:p>
        </w:tc>
        <w:tc>
          <w:tcPr>
            <w:tcW w:w="511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1、模块类型：0.2ml×96孔；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*2、适用管型：0.2ml， 8联排管，12联排管，96孔微孔板，兼容无裙边、半裙边、全裙边96孔PCR反应板；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3、温度范围：0-99.9℃；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*4、最大升温速度：4.5℃/秒；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*5、最大降温速度：4℃/秒；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*6、温度均匀性：≤±0.3℃；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7、温度准确度：≤±0.2℃；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8、控温方式：模拟管+模块；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9、变温速度可调：是；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*10、液晶显示：5.7英寸液晶屏；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*11、可存储程序数：200；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*12、最大循环数：99；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13、断电保护：有；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14、宽电压范围：85-264V, 47～63Hz；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*15、热盖温度：30℃～110℃可调；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 xml:space="preserve">★16、热盖高度可调：能适应不同高度试管； 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★17、可任意角度定位热盖；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18、中英文双语图形界面；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★19、本产品质保五年，一年包换，必须提供厂家售后服务及质量保证承诺书。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Style w:val="10"/>
                <w:rFonts w:ascii="Times New Roman" w:hAnsi="Times New Roman" w:eastAsia="宋体"/>
                <w:i w:val="0"/>
                <w:iCs w:val="0"/>
                <w:sz w:val="21"/>
                <w:szCs w:val="21"/>
                <w:shd w:val="clear" w:color="auto" w:fill="FFFFFF"/>
              </w:rPr>
              <w:t>杭州柏恒</w:t>
            </w:r>
            <w:r>
              <w:rPr>
                <w:rFonts w:ascii="Times New Roman" w:hAnsi="Times New Roman" w:eastAsia="宋体"/>
                <w:sz w:val="21"/>
                <w:szCs w:val="21"/>
                <w:shd w:val="clear" w:color="auto" w:fill="FFFFFF"/>
              </w:rPr>
              <w:t>科技有限公司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杭州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20000</w:t>
            </w:r>
          </w:p>
        </w:tc>
        <w:tc>
          <w:tcPr>
            <w:tcW w:w="53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54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台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20000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电话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王老师17604014010</w:t>
            </w:r>
          </w:p>
        </w:tc>
        <w:tc>
          <w:tcPr>
            <w:tcW w:w="106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兴农楼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211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7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台式多用途高速冷冻离心机</w:t>
            </w:r>
          </w:p>
        </w:tc>
        <w:tc>
          <w:tcPr>
            <w:tcW w:w="993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3H20RI</w:t>
            </w:r>
          </w:p>
        </w:tc>
        <w:tc>
          <w:tcPr>
            <w:tcW w:w="511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1、最高转速：20800 r/min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2、最大相对离心力：30000×g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3、定时范围：0—99h59min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4、转速精度：≤±50r/min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5、加/减速率：1~9档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6、电机：变频无刷电机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7、温控范围:-20℃—40℃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8、电源：AC 220V 50Hz 15A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9、整机噪音：≤65dB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10、重量（不含转头）：75Kg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11、外形尺寸：760×555×378mm（L×W×H）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12、配置包括：主机、12×1.5/2.0ml角转子，6×50ml角转子。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特点：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*1、4.3寸TFT真彩屏，触摸按键双控系统，操作方便简洁，显示清晰明了；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*2、国家离心机标准起草单位、获得中国科学仪器离心机自主创新奖、获得国产好仪器奖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。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湖南赫西仪器装备有限公司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长沙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30000</w:t>
            </w:r>
          </w:p>
        </w:tc>
        <w:tc>
          <w:tcPr>
            <w:tcW w:w="53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54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台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30000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电话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王老师17604014010</w:t>
            </w:r>
          </w:p>
        </w:tc>
        <w:tc>
          <w:tcPr>
            <w:tcW w:w="106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兴农楼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211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7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凝胶成像分析系统</w:t>
            </w:r>
          </w:p>
        </w:tc>
        <w:tc>
          <w:tcPr>
            <w:tcW w:w="993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sz w:val="21"/>
                <w:szCs w:val="21"/>
              </w:rPr>
              <w:t>ChampGel5000 Plus</w:t>
            </w:r>
          </w:p>
        </w:tc>
        <w:tc>
          <w:tcPr>
            <w:tcW w:w="511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1、配置：自动化控制暗箱、紫外透射台、白光透射板、高分辨率CCD和自动化镜头、滤光镜、Lane 1D分析软件等组成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★2、CCD分辨率：1392*1040像素（最高可达557万像素）、16bit（0-65536灰阶），像素合并功能(1×1, 2×2, 4×4)，曝光时间长达600s，适用于所有荧光染料染色的DNA/RNA和蛋白质凝胶的拍摄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★3、镜头： Computar  2/3英寸大口径高通透镜头, F=1：1.2，12.5～75mm；具有自动聚焦功能，可自动对所拍摄样品对焦，无须人工调整。配备自动对焦校正板，确保成像过程无需再次调节,可选配8-48mm自动三可变加广角，F1：1.2拍摄面积更大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4、控制系统：专利设计的集成式控制系统的“一体化模块控制盒”，安装于主机箱背部，可直接拆卸进行检修和维护，并具有智能向导、远程教学、远程诊断等多种功能（专利号：200920108763.2）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5、光源控制：鼠标控制和主机面板控制，带有10分钟灯光自动延时关闭和开关门紫外自动闭合功能；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6、CCD和镜头控制：鼠标控制和主机面板控制；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7、检测灵敏度：10pg=0.1ng双链 DNA；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8、软件：SageCapture 和Lane 1D拍摄分析软件软件可自由安装于多台电脑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★9、SageCapure智能拍摄软件具有模块化的拍摄流程, 无需开启光源，调节镜头和相机,即可完成拍摄过程。使用者可自由编成，编辑和保存个性化的拍摄流程和拍摄方式。具有自动曝光、手动拍摄等多种曝光拍摄功能。可对拍摄图片自动进行多种格式的保存、合并，并带有无线推送功能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10、Lane1D分析软件可进行各种染料染色的DNA/RNA、蛋白凝胶电泳的分析，ECL、ECLPlus等化学发光/化学荧光样品的分析，ELISA 板及放射自显影胶片分析，Spot/Dot/Blot点阵分析，Western、Norther、Southern、Dot/Slot blot、杂交膜、菌落的分析；PCR定量分析，AFLP/RFLP分析、遗传树及微卫星DNA分析， VNTRS分析，斑点分类筛选功能，荧光分析，菌落分析，抑菌抗生素效价分析（符合《国家药典》规定），物体和切片测量分析等；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11、包含荧光合成功能、染料数据库、分子量数据库、图像数据库、背景数据库；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★12、含配套电脑数据采集分析系统一套；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★13、质保三年，要求提供厂家售后服务及质量保证承诺书。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特点：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1、各种数据表可保存为Excel格式并打印，所有图像能复制、粘贴和打印，所有图像、图表可导入Excel、Word、PhotoShop、画图、粘贴板等多种格式的文件中进行编辑；3D图像观察及输出，可对实验进行保存，便于今后查找和调用；可出具符合GLP标准的实验报告，包括图像仪名称、仪器序列号、使用者姓名、成像时间、光源名称、滤光片名称、泳道图示、条带标注等；可保存各种紫外、荧光和化学发光拍摄模式，随时调用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*2、符合并通过GB 4793.1-2007《测量、控制和实验室用电气设备的安全要求》检测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GB/T 19001、ISO9001认证、CE LVD认证、CE EMC认证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。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北京赛智创业科技有限公司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北京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35000</w:t>
            </w:r>
          </w:p>
        </w:tc>
        <w:tc>
          <w:tcPr>
            <w:tcW w:w="53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54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套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35000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电话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王老师17604014010</w:t>
            </w:r>
          </w:p>
        </w:tc>
        <w:tc>
          <w:tcPr>
            <w:tcW w:w="106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兴农楼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211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7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八孔消化炉（标配8根消化管）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宋体"/>
                <w:b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HYP-318</w:t>
            </w:r>
          </w:p>
        </w:tc>
        <w:tc>
          <w:tcPr>
            <w:tcW w:w="5118" w:type="dxa"/>
            <w:vAlign w:val="center"/>
          </w:tcPr>
          <w:p>
            <w:pPr>
              <w:tabs>
                <w:tab w:val="left" w:pos="720"/>
              </w:tabs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测定范围： 0.1mg～200mg氮；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2、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测定数量：8个/批；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3、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速 度：45min/批 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4、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消化管容量：标配300ml；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5、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控温范围：室温～500℃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6、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控温精度：±1℃；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7、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升温速度：30℃/min；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8、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控温方式：采用数显无触点断开控温；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9</w:t>
            </w:r>
            <w:r>
              <w:rPr>
                <w:rFonts w:ascii="Times New Roman" w:hAnsi="Times New Roman" w:eastAsia="宋体"/>
                <w:sz w:val="21"/>
                <w:szCs w:val="21"/>
              </w:rPr>
              <w:t>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废气密封材料：聚四氟乙烯；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10、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加热方式：陶瓷炉芯加热；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11、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电 源：220（V）±10% 50~60HZ；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12、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额定功率： 2560W；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13、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外形尺寸：430×310×485mm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；</w:t>
            </w:r>
          </w:p>
          <w:p>
            <w:pPr>
              <w:spacing w:after="0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1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4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、标配8根消化管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。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上海纤检仪器有限公司</w:t>
            </w:r>
          </w:p>
        </w:tc>
        <w:tc>
          <w:tcPr>
            <w:tcW w:w="72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上海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9200</w:t>
            </w:r>
          </w:p>
        </w:tc>
        <w:tc>
          <w:tcPr>
            <w:tcW w:w="539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1</w:t>
            </w:r>
          </w:p>
        </w:tc>
        <w:tc>
          <w:tcPr>
            <w:tcW w:w="54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台</w:t>
            </w:r>
          </w:p>
        </w:tc>
        <w:tc>
          <w:tcPr>
            <w:tcW w:w="899" w:type="dxa"/>
            <w:vAlign w:val="center"/>
          </w:tcPr>
          <w:p>
            <w:pPr>
              <w:jc w:val="center"/>
              <w:textAlignment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9200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电话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王老师17604014010</w:t>
            </w:r>
          </w:p>
        </w:tc>
        <w:tc>
          <w:tcPr>
            <w:tcW w:w="1068" w:type="dxa"/>
            <w:vAlign w:val="center"/>
          </w:tcPr>
          <w:p>
            <w:pPr>
              <w:textAlignment w:val="center"/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兴农楼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211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7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消化管</w:t>
            </w:r>
          </w:p>
        </w:tc>
        <w:tc>
          <w:tcPr>
            <w:tcW w:w="993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配套HYP-318</w:t>
            </w:r>
          </w:p>
        </w:tc>
        <w:tc>
          <w:tcPr>
            <w:tcW w:w="511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上海纤检仪器有限公司</w:t>
            </w:r>
          </w:p>
        </w:tc>
        <w:tc>
          <w:tcPr>
            <w:tcW w:w="720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上海</w:t>
            </w:r>
          </w:p>
        </w:tc>
        <w:tc>
          <w:tcPr>
            <w:tcW w:w="89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95</w:t>
            </w:r>
          </w:p>
        </w:tc>
        <w:tc>
          <w:tcPr>
            <w:tcW w:w="53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8</w:t>
            </w:r>
          </w:p>
        </w:tc>
        <w:tc>
          <w:tcPr>
            <w:tcW w:w="54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根</w:t>
            </w:r>
          </w:p>
        </w:tc>
        <w:tc>
          <w:tcPr>
            <w:tcW w:w="89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760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电话</w:t>
            </w:r>
          </w:p>
        </w:tc>
        <w:tc>
          <w:tcPr>
            <w:tcW w:w="1080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王老师17604014010</w:t>
            </w:r>
          </w:p>
        </w:tc>
        <w:tc>
          <w:tcPr>
            <w:tcW w:w="106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兴农楼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211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27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sz w:val="21"/>
                <w:szCs w:val="21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双稳定时电泳仪电源</w:t>
            </w:r>
          </w:p>
        </w:tc>
        <w:tc>
          <w:tcPr>
            <w:tcW w:w="993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  <w:t>DYY-6C</w:t>
            </w:r>
          </w:p>
        </w:tc>
        <w:tc>
          <w:tcPr>
            <w:tcW w:w="511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★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1、适用DYCP-31DN和DYCP-32A型电泳槽；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2、外型尺寸（ W × D × H）：235 × 295 × 95mm 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3、并联输出：4组 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4、输出范围（显示分辨率）：6 ～ 600V（1V），4 ～ 400mA（1mA），240W 。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特点：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 xml:space="preserve">1、适用普通蛋白，核酸电泳； 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2、在工作状态中，可以实时微调；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3、微电脑智能控制；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4、液晶显示，同时显示电压，电流和定时时间；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5、采用开关电源输出；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6、具有存储记忆功能；</w:t>
            </w:r>
          </w:p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7、具有过压、过流、过载、变载、空载等多项报警保护功能。</w:t>
            </w:r>
          </w:p>
        </w:tc>
        <w:tc>
          <w:tcPr>
            <w:tcW w:w="89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北京六一生物科技有限公司</w:t>
            </w:r>
          </w:p>
        </w:tc>
        <w:tc>
          <w:tcPr>
            <w:tcW w:w="720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北京</w:t>
            </w:r>
          </w:p>
        </w:tc>
        <w:tc>
          <w:tcPr>
            <w:tcW w:w="89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3645</w:t>
            </w:r>
          </w:p>
        </w:tc>
        <w:tc>
          <w:tcPr>
            <w:tcW w:w="53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1</w:t>
            </w:r>
          </w:p>
        </w:tc>
        <w:tc>
          <w:tcPr>
            <w:tcW w:w="54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台</w:t>
            </w:r>
          </w:p>
        </w:tc>
        <w:tc>
          <w:tcPr>
            <w:tcW w:w="899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  <w:lang w:bidi="ar"/>
              </w:rPr>
              <w:t>3645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电话</w:t>
            </w:r>
          </w:p>
        </w:tc>
        <w:tc>
          <w:tcPr>
            <w:tcW w:w="1080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王老师17604014010</w:t>
            </w:r>
          </w:p>
        </w:tc>
        <w:tc>
          <w:tcPr>
            <w:tcW w:w="1068" w:type="dxa"/>
            <w:vAlign w:val="center"/>
          </w:tcPr>
          <w:p>
            <w:pPr>
              <w:spacing w:after="0"/>
              <w:rPr>
                <w:rFonts w:ascii="Times New Roman" w:hAnsi="Times New Roman" w:eastAsia="宋体"/>
                <w:color w:val="000000"/>
                <w:sz w:val="21"/>
                <w:szCs w:val="21"/>
                <w:lang w:bidi="ar"/>
              </w:rPr>
            </w:pPr>
            <w:r>
              <w:rPr>
                <w:rFonts w:ascii="Times New Roman" w:hAnsi="Times New Roman" w:eastAsia="宋体"/>
                <w:sz w:val="21"/>
                <w:szCs w:val="21"/>
              </w:rPr>
              <w:t>兴农楼</w:t>
            </w:r>
            <w:r>
              <w:rPr>
                <w:rFonts w:hint="eastAsia" w:ascii="Times New Roman" w:hAnsi="Times New Roman" w:eastAsia="宋体"/>
                <w:sz w:val="21"/>
                <w:szCs w:val="21"/>
              </w:rPr>
              <w:t>211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63" w:type="dxa"/>
            <w:gridSpan w:val="9"/>
            <w:vAlign w:val="center"/>
          </w:tcPr>
          <w:p>
            <w:pPr>
              <w:rPr>
                <w:rFonts w:ascii="Times New Roman" w:hAnsi="Times New Roman" w:eastAsia="宋体"/>
                <w:b/>
                <w:sz w:val="24"/>
                <w:szCs w:val="24"/>
              </w:rPr>
            </w:pPr>
            <w:r>
              <w:rPr>
                <w:rFonts w:ascii="Times New Roman" w:hAnsi="Times New Roman" w:eastAsia="宋体"/>
                <w:b/>
                <w:sz w:val="24"/>
                <w:szCs w:val="24"/>
              </w:rPr>
              <w:t>合 计：玖万</w:t>
            </w:r>
            <w:r>
              <w:rPr>
                <w:rFonts w:hint="eastAsia" w:ascii="Times New Roman" w:hAnsi="Times New Roman" w:eastAsia="宋体"/>
                <w:b/>
                <w:sz w:val="24"/>
                <w:szCs w:val="24"/>
              </w:rPr>
              <w:t>捌</w:t>
            </w:r>
            <w:r>
              <w:rPr>
                <w:rFonts w:ascii="Times New Roman" w:hAnsi="Times New Roman" w:eastAsia="宋体"/>
                <w:b/>
                <w:sz w:val="24"/>
                <w:szCs w:val="24"/>
              </w:rPr>
              <w:t>仟</w:t>
            </w:r>
            <w:r>
              <w:rPr>
                <w:rFonts w:hint="eastAsia" w:ascii="Times New Roman" w:hAnsi="Times New Roman" w:eastAsia="宋体"/>
                <w:b/>
                <w:sz w:val="24"/>
                <w:szCs w:val="24"/>
              </w:rPr>
              <w:t>陆</w:t>
            </w:r>
            <w:r>
              <w:rPr>
                <w:rFonts w:ascii="Times New Roman" w:hAnsi="Times New Roman" w:eastAsia="宋体"/>
                <w:b/>
                <w:sz w:val="24"/>
                <w:szCs w:val="24"/>
              </w:rPr>
              <w:t>佰</w:t>
            </w:r>
            <w:r>
              <w:rPr>
                <w:rFonts w:hint="eastAsia" w:ascii="Times New Roman" w:hAnsi="Times New Roman" w:eastAsia="宋体"/>
                <w:b/>
                <w:sz w:val="24"/>
                <w:szCs w:val="24"/>
              </w:rPr>
              <w:t>零伍</w:t>
            </w:r>
            <w:r>
              <w:rPr>
                <w:rFonts w:ascii="Times New Roman" w:hAnsi="Times New Roman" w:eastAsia="宋体"/>
                <w:b/>
                <w:sz w:val="24"/>
                <w:szCs w:val="24"/>
              </w:rPr>
              <w:t>元整</w:t>
            </w:r>
          </w:p>
        </w:tc>
        <w:tc>
          <w:tcPr>
            <w:tcW w:w="899" w:type="dxa"/>
            <w:vAlign w:val="center"/>
          </w:tcPr>
          <w:p>
            <w:pPr>
              <w:rPr>
                <w:rFonts w:ascii="Times New Roman" w:hAnsi="Times New Roman" w:eastAsia="宋体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sz w:val="24"/>
                <w:szCs w:val="24"/>
              </w:rPr>
              <w:t>98605</w:t>
            </w:r>
          </w:p>
        </w:tc>
        <w:tc>
          <w:tcPr>
            <w:tcW w:w="723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</w:p>
        </w:tc>
        <w:tc>
          <w:tcPr>
            <w:tcW w:w="1068" w:type="dxa"/>
            <w:vAlign w:val="center"/>
          </w:tcPr>
          <w:p>
            <w:pPr>
              <w:rPr>
                <w:rFonts w:ascii="Times New Roman" w:hAnsi="Times New Roman" w:eastAsia="宋体"/>
                <w:sz w:val="21"/>
                <w:szCs w:val="21"/>
              </w:rPr>
            </w:pPr>
          </w:p>
        </w:tc>
      </w:tr>
    </w:tbl>
    <w:p>
      <w:pPr>
        <w:ind w:left="-2" w:leftChars="-1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/>
          <w:b/>
          <w:sz w:val="28"/>
          <w:szCs w:val="28"/>
        </w:rPr>
        <w:t xml:space="preserve">            </w:t>
      </w:r>
      <w:bookmarkStart w:id="0" w:name="_GoBack"/>
      <w:bookmarkEnd w:id="0"/>
    </w:p>
    <w:sectPr>
      <w:pgSz w:w="16838" w:h="11906" w:orient="landscape"/>
      <w:pgMar w:top="1797" w:right="1440" w:bottom="1797" w:left="1440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720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6E9E"/>
    <w:rsid w:val="000177EC"/>
    <w:rsid w:val="00017904"/>
    <w:rsid w:val="0004455A"/>
    <w:rsid w:val="000473D6"/>
    <w:rsid w:val="000762A8"/>
    <w:rsid w:val="00095B6B"/>
    <w:rsid w:val="000A2F0C"/>
    <w:rsid w:val="000A54C9"/>
    <w:rsid w:val="000A64CD"/>
    <w:rsid w:val="000B3541"/>
    <w:rsid w:val="000B647B"/>
    <w:rsid w:val="000D7CC4"/>
    <w:rsid w:val="00136DD5"/>
    <w:rsid w:val="00156FCC"/>
    <w:rsid w:val="00172CF4"/>
    <w:rsid w:val="00183CB8"/>
    <w:rsid w:val="00196030"/>
    <w:rsid w:val="00196E31"/>
    <w:rsid w:val="001B2A7D"/>
    <w:rsid w:val="001C14EF"/>
    <w:rsid w:val="002014E8"/>
    <w:rsid w:val="002055CC"/>
    <w:rsid w:val="0021587D"/>
    <w:rsid w:val="0021774F"/>
    <w:rsid w:val="0025512A"/>
    <w:rsid w:val="00290E50"/>
    <w:rsid w:val="002A3B8F"/>
    <w:rsid w:val="002A472F"/>
    <w:rsid w:val="002A5622"/>
    <w:rsid w:val="002A5A61"/>
    <w:rsid w:val="002C4169"/>
    <w:rsid w:val="002E09D5"/>
    <w:rsid w:val="003067D2"/>
    <w:rsid w:val="00317D07"/>
    <w:rsid w:val="00323B43"/>
    <w:rsid w:val="00334AEE"/>
    <w:rsid w:val="003533A5"/>
    <w:rsid w:val="00376360"/>
    <w:rsid w:val="0037743E"/>
    <w:rsid w:val="003A7611"/>
    <w:rsid w:val="003C30F1"/>
    <w:rsid w:val="003D1159"/>
    <w:rsid w:val="003D37D8"/>
    <w:rsid w:val="004203C4"/>
    <w:rsid w:val="00426133"/>
    <w:rsid w:val="004358AB"/>
    <w:rsid w:val="0046025C"/>
    <w:rsid w:val="0046443F"/>
    <w:rsid w:val="0048011B"/>
    <w:rsid w:val="004B689E"/>
    <w:rsid w:val="004E3BD5"/>
    <w:rsid w:val="004F5FD1"/>
    <w:rsid w:val="00526C1D"/>
    <w:rsid w:val="00530956"/>
    <w:rsid w:val="00540C6D"/>
    <w:rsid w:val="00553984"/>
    <w:rsid w:val="00554C1A"/>
    <w:rsid w:val="00575632"/>
    <w:rsid w:val="00583D97"/>
    <w:rsid w:val="00584C25"/>
    <w:rsid w:val="00591C0C"/>
    <w:rsid w:val="005A7463"/>
    <w:rsid w:val="005D0A88"/>
    <w:rsid w:val="00636105"/>
    <w:rsid w:val="006534E6"/>
    <w:rsid w:val="00662FA6"/>
    <w:rsid w:val="00690AFA"/>
    <w:rsid w:val="006A72A1"/>
    <w:rsid w:val="006C1FE7"/>
    <w:rsid w:val="006C7E50"/>
    <w:rsid w:val="006E58A3"/>
    <w:rsid w:val="007112D8"/>
    <w:rsid w:val="007979B1"/>
    <w:rsid w:val="007C2E81"/>
    <w:rsid w:val="007D7F72"/>
    <w:rsid w:val="007E4946"/>
    <w:rsid w:val="00854A45"/>
    <w:rsid w:val="0086780A"/>
    <w:rsid w:val="008723D3"/>
    <w:rsid w:val="00875B0C"/>
    <w:rsid w:val="008921D1"/>
    <w:rsid w:val="00893191"/>
    <w:rsid w:val="008A0795"/>
    <w:rsid w:val="008B7726"/>
    <w:rsid w:val="008C081D"/>
    <w:rsid w:val="008C6C5F"/>
    <w:rsid w:val="00907F59"/>
    <w:rsid w:val="009620F6"/>
    <w:rsid w:val="009A1E55"/>
    <w:rsid w:val="009E42D8"/>
    <w:rsid w:val="009F4642"/>
    <w:rsid w:val="00A32CBF"/>
    <w:rsid w:val="00A74914"/>
    <w:rsid w:val="00A838CA"/>
    <w:rsid w:val="00A93344"/>
    <w:rsid w:val="00A95678"/>
    <w:rsid w:val="00A960F8"/>
    <w:rsid w:val="00A97286"/>
    <w:rsid w:val="00AA0C24"/>
    <w:rsid w:val="00AC12A7"/>
    <w:rsid w:val="00AE5EEC"/>
    <w:rsid w:val="00B02BD6"/>
    <w:rsid w:val="00B10472"/>
    <w:rsid w:val="00B136DF"/>
    <w:rsid w:val="00B23400"/>
    <w:rsid w:val="00B31335"/>
    <w:rsid w:val="00B6627F"/>
    <w:rsid w:val="00B75355"/>
    <w:rsid w:val="00B77024"/>
    <w:rsid w:val="00B854A8"/>
    <w:rsid w:val="00BA45A9"/>
    <w:rsid w:val="00BA5D02"/>
    <w:rsid w:val="00BC1C51"/>
    <w:rsid w:val="00BC331F"/>
    <w:rsid w:val="00BD1A7C"/>
    <w:rsid w:val="00BE629E"/>
    <w:rsid w:val="00C21BC4"/>
    <w:rsid w:val="00C34EBE"/>
    <w:rsid w:val="00C50C7A"/>
    <w:rsid w:val="00C5126F"/>
    <w:rsid w:val="00C5472F"/>
    <w:rsid w:val="00C6384D"/>
    <w:rsid w:val="00C64F36"/>
    <w:rsid w:val="00C733FA"/>
    <w:rsid w:val="00C76112"/>
    <w:rsid w:val="00CA5807"/>
    <w:rsid w:val="00CA656C"/>
    <w:rsid w:val="00CE3C06"/>
    <w:rsid w:val="00D31D50"/>
    <w:rsid w:val="00D32202"/>
    <w:rsid w:val="00D55EC3"/>
    <w:rsid w:val="00D56969"/>
    <w:rsid w:val="00D57820"/>
    <w:rsid w:val="00D70EA6"/>
    <w:rsid w:val="00D71680"/>
    <w:rsid w:val="00D80DA5"/>
    <w:rsid w:val="00D84C91"/>
    <w:rsid w:val="00D92FFB"/>
    <w:rsid w:val="00DC0595"/>
    <w:rsid w:val="00DC75B9"/>
    <w:rsid w:val="00DF11AD"/>
    <w:rsid w:val="00DF7D56"/>
    <w:rsid w:val="00E11832"/>
    <w:rsid w:val="00E46635"/>
    <w:rsid w:val="00E84260"/>
    <w:rsid w:val="00EA2DB7"/>
    <w:rsid w:val="00EA6FB3"/>
    <w:rsid w:val="00EE1826"/>
    <w:rsid w:val="00F02B12"/>
    <w:rsid w:val="00F10677"/>
    <w:rsid w:val="00F37DF6"/>
    <w:rsid w:val="00F92FEC"/>
    <w:rsid w:val="00FF7A47"/>
    <w:rsid w:val="0B5D059F"/>
    <w:rsid w:val="2E52057D"/>
    <w:rsid w:val="3DDF72EF"/>
    <w:rsid w:val="779F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0" w:name="heading 2" w:locked="1"/>
    <w:lsdException w:qFormat="1" w:unhideWhenUsed="0" w:uiPriority="99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99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locked/>
    <w:uiPriority w:val="9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3"/>
    <w:qFormat/>
    <w:locked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qFormat/>
    <w:locked/>
    <w:uiPriority w:val="99"/>
    <w:rPr>
      <w:rFonts w:cs="Times New Roman"/>
      <w:b/>
      <w:bCs/>
    </w:rPr>
  </w:style>
  <w:style w:type="character" w:styleId="10">
    <w:name w:val="Emphasis"/>
    <w:qFormat/>
    <w:locked/>
    <w:uiPriority w:val="99"/>
    <w:rPr>
      <w:rFonts w:cs="Times New Roman"/>
      <w:i/>
      <w:iCs/>
    </w:rPr>
  </w:style>
  <w:style w:type="character" w:styleId="11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2">
    <w:name w:val="标题 1 Char"/>
    <w:link w:val="2"/>
    <w:qFormat/>
    <w:locked/>
    <w:uiPriority w:val="99"/>
    <w:rPr>
      <w:rFonts w:ascii="Tahoma" w:hAnsi="Tahoma" w:cs="Times New Roman"/>
      <w:b/>
      <w:bCs/>
      <w:kern w:val="44"/>
      <w:sz w:val="44"/>
      <w:szCs w:val="44"/>
    </w:rPr>
  </w:style>
  <w:style w:type="character" w:customStyle="1" w:styleId="13">
    <w:name w:val="标题 3 Char"/>
    <w:link w:val="3"/>
    <w:semiHidden/>
    <w:qFormat/>
    <w:locked/>
    <w:uiPriority w:val="99"/>
    <w:rPr>
      <w:rFonts w:ascii="Tahoma" w:hAnsi="Tahoma" w:cs="Times New Roman"/>
      <w:b/>
      <w:bCs/>
      <w:kern w:val="0"/>
      <w:sz w:val="32"/>
      <w:szCs w:val="32"/>
    </w:rPr>
  </w:style>
  <w:style w:type="character" w:customStyle="1" w:styleId="14">
    <w:name w:val="goodsprice"/>
    <w:qFormat/>
    <w:uiPriority w:val="99"/>
    <w:rPr>
      <w:rFonts w:cs="Times New Roman"/>
    </w:rPr>
  </w:style>
  <w:style w:type="character" w:customStyle="1" w:styleId="15">
    <w:name w:val="apple-converted-space"/>
    <w:qFormat/>
    <w:uiPriority w:val="99"/>
    <w:rPr>
      <w:rFonts w:cs="Times New Roman"/>
    </w:rPr>
  </w:style>
  <w:style w:type="character" w:customStyle="1" w:styleId="16">
    <w:name w:val="页眉 Char"/>
    <w:link w:val="5"/>
    <w:qFormat/>
    <w:uiPriority w:val="99"/>
    <w:rPr>
      <w:rFonts w:ascii="Tahoma" w:hAnsi="Tahoma"/>
      <w:sz w:val="18"/>
      <w:szCs w:val="18"/>
    </w:rPr>
  </w:style>
  <w:style w:type="character" w:customStyle="1" w:styleId="17">
    <w:name w:val="页脚 Char"/>
    <w:link w:val="4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547</Words>
  <Characters>3119</Characters>
  <Lines>25</Lines>
  <Paragraphs>7</Paragraphs>
  <TotalTime>175</TotalTime>
  <ScaleCrop>false</ScaleCrop>
  <LinksUpToDate>false</LinksUpToDate>
  <CharactersWithSpaces>3659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陈文何</cp:lastModifiedBy>
  <dcterms:modified xsi:type="dcterms:W3CDTF">2019-10-31T06:39:54Z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